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961" w:rsidRPr="001B0218" w:rsidRDefault="00CD6CB3" w:rsidP="004F6791">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Pr="00CD6CB3">
        <w:rPr>
          <w:rFonts w:ascii="Arial" w:hAnsi="Arial" w:cs="Arial"/>
          <w:b/>
          <w:bCs/>
        </w:rPr>
        <w:t>Meeting</w:t>
      </w:r>
      <w:r w:rsidR="00EF0C2F">
        <w:rPr>
          <w:rFonts w:ascii="Arial" w:hAnsi="Arial" w:cs="Arial"/>
          <w:b/>
          <w:bCs/>
        </w:rPr>
        <w:t xml:space="preserve"> </w:t>
      </w:r>
      <w:r w:rsidR="00EF0C2F" w:rsidRPr="00EF0C2F">
        <w:rPr>
          <w:rFonts w:ascii="Arial" w:hAnsi="Arial" w:cs="Arial"/>
          <w:b/>
          <w:bCs/>
        </w:rPr>
        <w:t>#84bis</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R1-1</w:t>
      </w:r>
      <w:r w:rsidR="006346FA" w:rsidRPr="001B0218">
        <w:rPr>
          <w:rFonts w:ascii="Arial" w:eastAsia="MS Mincho" w:hAnsi="Arial" w:cs="Arial"/>
          <w:b/>
          <w:bCs/>
          <w:lang w:val="en-GB" w:eastAsia="ja-JP"/>
        </w:rPr>
        <w:t>6</w:t>
      </w:r>
      <w:r w:rsidR="004F6791">
        <w:rPr>
          <w:rFonts w:ascii="Arial" w:eastAsia="MS Mincho" w:hAnsi="Arial" w:cs="Arial"/>
          <w:b/>
          <w:bCs/>
          <w:lang w:val="en-GB" w:eastAsia="ja-JP"/>
        </w:rPr>
        <w:t>3214</w:t>
      </w:r>
    </w:p>
    <w:p w:rsidR="00284961" w:rsidRPr="00284961" w:rsidRDefault="00EF0C2F" w:rsidP="00284961">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EF0C2F">
        <w:rPr>
          <w:rFonts w:ascii="Arial" w:eastAsia="MS Mincho" w:hAnsi="Arial" w:cs="Arial"/>
          <w:b/>
          <w:bCs/>
          <w:lang w:eastAsia="ja-JP"/>
        </w:rPr>
        <w:t xml:space="preserve">Busan, Korea 11th - 15th April </w:t>
      </w:r>
      <w:r w:rsidR="00284961" w:rsidRPr="00284961">
        <w:rPr>
          <w:rFonts w:ascii="Arial" w:eastAsia="MS Mincho" w:hAnsi="Arial" w:cs="Arial"/>
          <w:b/>
          <w:bCs/>
          <w:lang w:eastAsia="ja-JP"/>
        </w:rPr>
        <w:t>201</w:t>
      </w:r>
      <w:r w:rsidR="00284961" w:rsidRPr="00284961">
        <w:rPr>
          <w:rFonts w:ascii="Arial" w:eastAsia="MS Mincho" w:hAnsi="Arial" w:cs="Arial" w:hint="eastAsia"/>
          <w:b/>
          <w:bCs/>
          <w:lang w:eastAsia="ja-JP"/>
        </w:rPr>
        <w:t>6</w:t>
      </w:r>
    </w:p>
    <w:p w:rsidR="00284961" w:rsidRPr="00284961" w:rsidRDefault="00284961" w:rsidP="00284961">
      <w:pPr>
        <w:pBdr>
          <w:top w:val="single" w:sz="4" w:space="1" w:color="auto"/>
        </w:pBdr>
        <w:spacing w:after="0"/>
        <w:jc w:val="left"/>
        <w:rPr>
          <w:b/>
          <w:kern w:val="2"/>
          <w:lang w:eastAsia="zh-CN"/>
        </w:rPr>
      </w:pPr>
    </w:p>
    <w:p w:rsidR="00284961" w:rsidRPr="00BE6603" w:rsidRDefault="00BE6603" w:rsidP="004F6791">
      <w:pPr>
        <w:spacing w:after="60"/>
        <w:jc w:val="left"/>
        <w:rPr>
          <w:rFonts w:ascii="Arial" w:eastAsia="Batang" w:hAnsi="Arial" w:cs="Arial"/>
          <w:b/>
          <w:bCs/>
          <w:lang w:val="en-GB"/>
        </w:rPr>
      </w:pPr>
      <w:r>
        <w:rPr>
          <w:rFonts w:ascii="Arial" w:eastAsia="Batang" w:hAnsi="Arial" w:cs="Arial"/>
          <w:b/>
          <w:bCs/>
          <w:lang w:val="en-GB"/>
        </w:rPr>
        <w:t xml:space="preserve">Agenda Item:  </w:t>
      </w:r>
      <w:r w:rsidR="00C069AC">
        <w:rPr>
          <w:rFonts w:ascii="Arial" w:eastAsia="Batang" w:hAnsi="Arial" w:cs="Arial"/>
          <w:b/>
          <w:bCs/>
          <w:lang w:val="en-GB"/>
        </w:rPr>
        <w:t>7.2.1.</w:t>
      </w:r>
      <w:r w:rsidR="004F6791">
        <w:rPr>
          <w:rFonts w:ascii="Arial" w:eastAsia="Batang" w:hAnsi="Arial" w:cs="Arial"/>
          <w:b/>
          <w:bCs/>
          <w:lang w:val="en-GB"/>
        </w:rPr>
        <w:t>3</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rsidR="00284961" w:rsidRPr="00BE6603" w:rsidRDefault="00284961" w:rsidP="004F679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4F6791" w:rsidRPr="004F6791">
        <w:rPr>
          <w:rFonts w:ascii="Arial" w:eastAsia="Batang" w:hAnsi="Arial" w:cs="Arial"/>
          <w:b/>
          <w:bCs/>
          <w:lang w:val="en-GB"/>
        </w:rPr>
        <w:t>On multi-carrier configuration signalling</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rsidR="00284961" w:rsidRPr="00AF261F" w:rsidRDefault="00284961" w:rsidP="00284961">
      <w:pPr>
        <w:pBdr>
          <w:bottom w:val="single" w:sz="4" w:space="1" w:color="auto"/>
        </w:pBdr>
        <w:spacing w:after="0"/>
        <w:jc w:val="left"/>
        <w:rPr>
          <w:b/>
          <w:sz w:val="16"/>
          <w:szCs w:val="16"/>
        </w:rPr>
      </w:pPr>
    </w:p>
    <w:p w:rsidR="00284961" w:rsidRDefault="00284961" w:rsidP="00284961">
      <w:pPr>
        <w:pStyle w:val="Heading1"/>
      </w:pPr>
      <w:bookmarkStart w:id="0" w:name="_Ref124589705"/>
      <w:bookmarkStart w:id="1" w:name="_Ref129681862"/>
      <w:r w:rsidRPr="00AF261F">
        <w:t>Introduction</w:t>
      </w:r>
      <w:bookmarkEnd w:id="0"/>
      <w:bookmarkEnd w:id="1"/>
    </w:p>
    <w:p w:rsidR="00A9711B" w:rsidRDefault="00FB7BB3" w:rsidP="00FB7BB3">
      <w:pPr>
        <w:rPr>
          <w:lang w:eastAsia="zh-CN"/>
        </w:rPr>
      </w:pPr>
      <w:r>
        <w:rPr>
          <w:lang w:eastAsia="zh-CN"/>
        </w:rPr>
        <w:t>After</w:t>
      </w:r>
      <w:r w:rsidR="0077223C">
        <w:rPr>
          <w:lang w:eastAsia="zh-CN"/>
        </w:rPr>
        <w:t xml:space="preserve"> the second </w:t>
      </w:r>
      <w:r w:rsidR="00A9711B">
        <w:rPr>
          <w:lang w:eastAsia="zh-CN"/>
        </w:rPr>
        <w:t>RAN1 NB-IoT ad hoc</w:t>
      </w:r>
      <w:r w:rsidR="00C23D71">
        <w:rPr>
          <w:lang w:eastAsia="zh-CN"/>
        </w:rPr>
        <w:t xml:space="preserve"> meet</w:t>
      </w:r>
      <w:r w:rsidR="00A9711B">
        <w:rPr>
          <w:lang w:eastAsia="zh-CN"/>
        </w:rPr>
        <w:t>ing</w:t>
      </w:r>
      <w:r w:rsidR="002618E0">
        <w:rPr>
          <w:lang w:eastAsia="zh-CN"/>
        </w:rPr>
        <w:t xml:space="preserve"> </w:t>
      </w:r>
      <w:r w:rsidR="00A20858">
        <w:rPr>
          <w:lang w:eastAsia="zh-CN"/>
        </w:rPr>
        <w:t xml:space="preserve">following agreements </w:t>
      </w:r>
      <w:r w:rsidR="00C23D71">
        <w:rPr>
          <w:lang w:eastAsia="zh-CN"/>
        </w:rPr>
        <w:t>have been reached</w:t>
      </w:r>
      <w:r w:rsidR="0077223C">
        <w:rPr>
          <w:lang w:eastAsia="zh-CN"/>
        </w:rPr>
        <w:t xml:space="preserve"> on </w:t>
      </w:r>
      <w:r>
        <w:rPr>
          <w:lang w:eastAsia="zh-CN"/>
        </w:rPr>
        <w:t>the N</w:t>
      </w:r>
      <w:r w:rsidR="00F67317">
        <w:rPr>
          <w:lang w:eastAsia="zh-CN"/>
        </w:rPr>
        <w:t>B-</w:t>
      </w:r>
      <w:r>
        <w:rPr>
          <w:lang w:eastAsia="zh-CN"/>
        </w:rPr>
        <w:t>PBCH</w:t>
      </w:r>
      <w:r w:rsidR="0077223C">
        <w:rPr>
          <w:lang w:eastAsia="zh-CN"/>
        </w:rPr>
        <w:t xml:space="preserve"> information </w:t>
      </w:r>
      <w:r>
        <w:rPr>
          <w:lang w:eastAsia="zh-CN"/>
        </w:rPr>
        <w:t xml:space="preserve">and on the CRS information </w:t>
      </w:r>
      <w:r w:rsidR="0077223C">
        <w:rPr>
          <w:lang w:eastAsia="zh-CN"/>
        </w:rPr>
        <w:t>for the NB-Io</w:t>
      </w:r>
      <w:r w:rsidR="00450D6A">
        <w:rPr>
          <w:lang w:eastAsia="zh-CN"/>
        </w:rPr>
        <w:t>T</w:t>
      </w:r>
      <w:r w:rsidR="0077223C">
        <w:rPr>
          <w:lang w:eastAsia="zh-CN"/>
        </w:rPr>
        <w:t xml:space="preserve"> UE</w:t>
      </w:r>
      <w:r w:rsidR="00793F29">
        <w:rPr>
          <w:lang w:eastAsia="zh-CN"/>
        </w:rPr>
        <w:t xml:space="preserve"> </w:t>
      </w:r>
      <w:r w:rsidR="00793F29">
        <w:rPr>
          <w:lang w:eastAsia="zh-CN"/>
        </w:rPr>
        <w:fldChar w:fldCharType="begin"/>
      </w:r>
      <w:r w:rsidR="00793F29">
        <w:rPr>
          <w:lang w:eastAsia="zh-CN"/>
        </w:rPr>
        <w:instrText xml:space="preserve"> REF _Ref447544575 \r \h </w:instrText>
      </w:r>
      <w:r w:rsidR="00793F29">
        <w:rPr>
          <w:lang w:eastAsia="zh-CN"/>
        </w:rPr>
      </w:r>
      <w:r w:rsidR="00793F29">
        <w:rPr>
          <w:lang w:eastAsia="zh-CN"/>
        </w:rPr>
        <w:fldChar w:fldCharType="separate"/>
      </w:r>
      <w:r w:rsidR="00793F29">
        <w:rPr>
          <w:cs/>
          <w:lang w:eastAsia="zh-CN"/>
        </w:rPr>
        <w:t>‎</w:t>
      </w:r>
      <w:r w:rsidR="00793F29">
        <w:rPr>
          <w:lang w:eastAsia="zh-CN"/>
        </w:rPr>
        <w:t>[1]</w:t>
      </w:r>
      <w:r w:rsidR="00793F29">
        <w:rPr>
          <w:lang w:eastAsia="zh-CN"/>
        </w:rPr>
        <w:fldChar w:fldCharType="end"/>
      </w:r>
      <w:r w:rsidR="00C23D71">
        <w:rPr>
          <w:lang w:eastAsia="zh-CN"/>
        </w:rPr>
        <w:t>:</w:t>
      </w:r>
    </w:p>
    <w:p w:rsidR="003073E1" w:rsidRDefault="003073E1" w:rsidP="007572AA">
      <w:pPr>
        <w:autoSpaceDE/>
        <w:autoSpaceDN/>
        <w:adjustRightInd/>
        <w:snapToGrid/>
        <w:spacing w:after="0"/>
        <w:jc w:val="left"/>
        <w:rPr>
          <w:rFonts w:eastAsia="MS Mincho"/>
          <w:lang w:eastAsia="ja-JP"/>
        </w:rPr>
      </w:pPr>
    </w:p>
    <w:p w:rsidR="00524A7B" w:rsidRDefault="00524A7B" w:rsidP="00524A7B">
      <w:pPr>
        <w:rPr>
          <w:rFonts w:eastAsia="MS Mincho"/>
          <w:sz w:val="20"/>
          <w:lang w:eastAsia="ja-JP"/>
        </w:rPr>
      </w:pPr>
      <w:r>
        <w:rPr>
          <w:rFonts w:eastAsia="MS Mincho"/>
          <w:b/>
          <w:highlight w:val="green"/>
          <w:u w:val="single"/>
          <w:lang w:eastAsia="ja-JP"/>
        </w:rPr>
        <w:t>Agreements:</w:t>
      </w:r>
    </w:p>
    <w:p w:rsidR="0077223C" w:rsidRPr="0077223C" w:rsidRDefault="0077223C" w:rsidP="0077223C">
      <w:pPr>
        <w:pStyle w:val="ListParagraph"/>
        <w:numPr>
          <w:ilvl w:val="0"/>
          <w:numId w:val="19"/>
        </w:numPr>
        <w:ind w:firstLineChars="0"/>
        <w:rPr>
          <w:rFonts w:eastAsia="MS Mincho"/>
          <w:lang w:eastAsia="ja-JP"/>
        </w:rPr>
      </w:pPr>
      <w:r w:rsidRPr="0077223C">
        <w:rPr>
          <w:rFonts w:eastAsia="MS Mincho"/>
          <w:lang w:eastAsia="ja-JP"/>
        </w:rPr>
        <w:t>Mode indication in MIB</w:t>
      </w:r>
    </w:p>
    <w:p w:rsidR="0077223C" w:rsidRPr="0077223C" w:rsidRDefault="0077223C" w:rsidP="0077223C">
      <w:pPr>
        <w:pStyle w:val="ListParagraph"/>
        <w:numPr>
          <w:ilvl w:val="1"/>
          <w:numId w:val="19"/>
        </w:numPr>
        <w:ind w:firstLineChars="0"/>
        <w:rPr>
          <w:rFonts w:eastAsia="MS Mincho"/>
          <w:lang w:eastAsia="ja-JP"/>
        </w:rPr>
      </w:pPr>
      <w:r w:rsidRPr="0077223C">
        <w:rPr>
          <w:rFonts w:eastAsia="MS Mincho"/>
          <w:lang w:eastAsia="ja-JP"/>
        </w:rPr>
        <w:t>2 bits indicating:</w:t>
      </w:r>
    </w:p>
    <w:p w:rsidR="0077223C" w:rsidRPr="0077223C" w:rsidRDefault="0077223C" w:rsidP="0077223C">
      <w:pPr>
        <w:pStyle w:val="ListParagraph"/>
        <w:numPr>
          <w:ilvl w:val="2"/>
          <w:numId w:val="19"/>
        </w:numPr>
        <w:ind w:firstLineChars="0"/>
        <w:rPr>
          <w:rFonts w:eastAsia="MS Mincho"/>
          <w:lang w:eastAsia="ja-JP"/>
        </w:rPr>
      </w:pPr>
      <w:r w:rsidRPr="0077223C">
        <w:rPr>
          <w:rFonts w:eastAsia="MS Mincho"/>
          <w:lang w:eastAsia="ja-JP"/>
        </w:rPr>
        <w:t>00: In-band mode when the same PCI indicator is true</w:t>
      </w:r>
    </w:p>
    <w:p w:rsidR="0077223C" w:rsidRPr="0077223C" w:rsidRDefault="0077223C" w:rsidP="0077223C">
      <w:pPr>
        <w:pStyle w:val="ListParagraph"/>
        <w:numPr>
          <w:ilvl w:val="2"/>
          <w:numId w:val="19"/>
        </w:numPr>
        <w:ind w:firstLineChars="0"/>
        <w:rPr>
          <w:rFonts w:eastAsia="MS Mincho"/>
          <w:lang w:eastAsia="ja-JP"/>
        </w:rPr>
      </w:pPr>
      <w:r w:rsidRPr="0077223C">
        <w:rPr>
          <w:rFonts w:eastAsia="MS Mincho"/>
          <w:lang w:eastAsia="ja-JP"/>
        </w:rPr>
        <w:t>01: In-band mode when the same PCI indicator is false</w:t>
      </w:r>
    </w:p>
    <w:p w:rsidR="0077223C" w:rsidRPr="0077223C" w:rsidRDefault="0077223C" w:rsidP="0077223C">
      <w:pPr>
        <w:pStyle w:val="ListParagraph"/>
        <w:numPr>
          <w:ilvl w:val="2"/>
          <w:numId w:val="19"/>
        </w:numPr>
        <w:ind w:firstLineChars="0"/>
        <w:rPr>
          <w:rFonts w:eastAsia="MS Mincho"/>
          <w:lang w:eastAsia="ja-JP"/>
        </w:rPr>
      </w:pPr>
      <w:r w:rsidRPr="0077223C">
        <w:rPr>
          <w:rFonts w:eastAsia="MS Mincho"/>
          <w:lang w:eastAsia="ja-JP"/>
        </w:rPr>
        <w:t>10: Guard band mode</w:t>
      </w:r>
    </w:p>
    <w:p w:rsidR="0077223C" w:rsidRPr="0077223C" w:rsidRDefault="0077223C" w:rsidP="0077223C">
      <w:pPr>
        <w:pStyle w:val="ListParagraph"/>
        <w:numPr>
          <w:ilvl w:val="2"/>
          <w:numId w:val="19"/>
        </w:numPr>
        <w:ind w:firstLineChars="0"/>
        <w:rPr>
          <w:rFonts w:eastAsia="MS Mincho"/>
          <w:lang w:eastAsia="ja-JP"/>
        </w:rPr>
      </w:pPr>
      <w:r w:rsidRPr="0077223C">
        <w:rPr>
          <w:rFonts w:eastAsia="MS Mincho"/>
          <w:lang w:eastAsia="ja-JP"/>
        </w:rPr>
        <w:t>11: Stand-alone mode</w:t>
      </w:r>
    </w:p>
    <w:p w:rsidR="0077223C" w:rsidRPr="0077223C" w:rsidRDefault="0077223C" w:rsidP="0077223C">
      <w:pPr>
        <w:pStyle w:val="ListParagraph"/>
        <w:numPr>
          <w:ilvl w:val="1"/>
          <w:numId w:val="19"/>
        </w:numPr>
        <w:ind w:firstLineChars="0"/>
        <w:rPr>
          <w:rFonts w:eastAsia="MS Mincho"/>
          <w:lang w:eastAsia="ja-JP"/>
        </w:rPr>
      </w:pPr>
      <w:r w:rsidRPr="0077223C">
        <w:rPr>
          <w:rFonts w:eastAsia="MS Mincho"/>
          <w:lang w:eastAsia="ja-JP"/>
        </w:rPr>
        <w:t>LTE CRS port is indicated separately</w:t>
      </w:r>
    </w:p>
    <w:p w:rsidR="0077223C" w:rsidRDefault="0077223C" w:rsidP="0077223C">
      <w:pPr>
        <w:pStyle w:val="ListParagraph"/>
        <w:numPr>
          <w:ilvl w:val="0"/>
          <w:numId w:val="19"/>
        </w:numPr>
        <w:ind w:firstLineChars="0"/>
        <w:rPr>
          <w:rFonts w:eastAsia="MS Mincho"/>
          <w:lang w:eastAsia="ja-JP"/>
        </w:rPr>
      </w:pPr>
      <w:r w:rsidRPr="0077223C">
        <w:rPr>
          <w:rFonts w:eastAsia="MS Mincho"/>
          <w:lang w:eastAsia="ja-JP"/>
        </w:rPr>
        <w:t>PRB indexing for NB-IoT in-band operation</w:t>
      </w:r>
    </w:p>
    <w:p w:rsidR="00FB7BB3" w:rsidRPr="0077223C" w:rsidRDefault="00FB7BB3" w:rsidP="00FB7BB3">
      <w:pPr>
        <w:pStyle w:val="ListParagraph"/>
        <w:numPr>
          <w:ilvl w:val="1"/>
          <w:numId w:val="19"/>
        </w:numPr>
        <w:ind w:firstLineChars="0"/>
        <w:rPr>
          <w:rFonts w:eastAsia="MS Mincho"/>
          <w:lang w:eastAsia="ja-JP"/>
        </w:rPr>
      </w:pPr>
      <w:r w:rsidRPr="00FB7BB3">
        <w:rPr>
          <w:rFonts w:eastAsia="MS Mincho"/>
          <w:lang w:eastAsia="ja-JP"/>
        </w:rPr>
        <w:t>5 bits are used to indicate the index as given in the table</w:t>
      </w:r>
    </w:p>
    <w:p w:rsidR="00FB7BB3" w:rsidRDefault="00FB7BB3" w:rsidP="00FB7BB3">
      <w:pPr>
        <w:pStyle w:val="ListParagraph"/>
        <w:numPr>
          <w:ilvl w:val="0"/>
          <w:numId w:val="19"/>
        </w:numPr>
        <w:ind w:firstLineChars="0"/>
        <w:rPr>
          <w:rFonts w:eastAsia="MS Mincho"/>
          <w:lang w:eastAsia="ja-JP"/>
        </w:rPr>
      </w:pPr>
      <w:r w:rsidRPr="00FB7BB3">
        <w:rPr>
          <w:rFonts w:eastAsia="MS Mincho"/>
          <w:lang w:eastAsia="ja-JP"/>
        </w:rPr>
        <w:t>MIB content</w:t>
      </w:r>
      <w:r>
        <w:rPr>
          <w:rFonts w:eastAsia="MS Mincho"/>
          <w:lang w:eastAsia="ja-JP"/>
        </w:rPr>
        <w:t>:</w:t>
      </w:r>
      <w:r w:rsidRPr="00FB7BB3">
        <w:rPr>
          <w:rFonts w:eastAsia="MS Mincho"/>
          <w:lang w:eastAsia="ja-JP"/>
        </w:rPr>
        <w:t xml:space="preserve"> </w:t>
      </w:r>
    </w:p>
    <w:p w:rsidR="00FB7BB3" w:rsidRPr="00FB7BB3" w:rsidRDefault="00FB7BB3" w:rsidP="00FB7BB3">
      <w:pPr>
        <w:pStyle w:val="ListParagraph"/>
        <w:numPr>
          <w:ilvl w:val="1"/>
          <w:numId w:val="19"/>
        </w:numPr>
        <w:ind w:firstLineChars="0"/>
        <w:rPr>
          <w:rFonts w:eastAsia="MS Mincho"/>
          <w:lang w:eastAsia="ja-JP"/>
        </w:rPr>
      </w:pPr>
      <w:r w:rsidRPr="00FB7BB3">
        <w:rPr>
          <w:rFonts w:eastAsia="MS Mincho"/>
          <w:lang w:eastAsia="ja-JP"/>
        </w:rPr>
        <w:t>For inband with the same PCI indicator set to false and guardband, the raster offset is signaled using two bits for {2.5,-2.5,7.5,-7.5}</w:t>
      </w:r>
    </w:p>
    <w:p w:rsidR="0077223C" w:rsidRDefault="0077223C" w:rsidP="0077223C">
      <w:pPr>
        <w:numPr>
          <w:ilvl w:val="0"/>
          <w:numId w:val="19"/>
        </w:numPr>
        <w:autoSpaceDE/>
        <w:autoSpaceDN/>
        <w:adjustRightInd/>
        <w:snapToGrid/>
        <w:spacing w:after="0"/>
        <w:jc w:val="left"/>
        <w:rPr>
          <w:rFonts w:eastAsia="MS Mincho"/>
          <w:lang w:eastAsia="ja-JP"/>
        </w:rPr>
      </w:pPr>
      <w:r w:rsidRPr="0077223C">
        <w:rPr>
          <w:rFonts w:eastAsia="MS Mincho"/>
          <w:lang w:eastAsia="ja-JP"/>
        </w:rPr>
        <w:t xml:space="preserve">When the same-PCI indicator is set to TRUE, </w:t>
      </w:r>
    </w:p>
    <w:p w:rsidR="0009464F" w:rsidRPr="006810C8" w:rsidRDefault="0009464F" w:rsidP="0009464F">
      <w:pPr>
        <w:numPr>
          <w:ilvl w:val="1"/>
          <w:numId w:val="19"/>
        </w:numPr>
        <w:autoSpaceDE/>
        <w:autoSpaceDN/>
        <w:adjustRightInd/>
        <w:snapToGrid/>
        <w:spacing w:after="0"/>
        <w:jc w:val="left"/>
        <w:rPr>
          <w:rFonts w:ascii="Times" w:eastAsia="MS Mincho" w:hAnsi="Times" w:cs="Times"/>
          <w:lang w:eastAsia="ja-JP"/>
        </w:rPr>
      </w:pPr>
      <w:r w:rsidRPr="006810C8">
        <w:rPr>
          <w:rFonts w:ascii="Times" w:eastAsia="MS Mincho" w:hAnsi="Times" w:cs="Times"/>
          <w:lang w:eastAsia="ja-JP"/>
        </w:rPr>
        <w:t xml:space="preserve">The UE may assume that cell ID is identical for NB-IoT and LTE,  </w:t>
      </w:r>
    </w:p>
    <w:p w:rsidR="0009464F" w:rsidRPr="006810C8" w:rsidRDefault="0009464F" w:rsidP="0009464F">
      <w:pPr>
        <w:numPr>
          <w:ilvl w:val="1"/>
          <w:numId w:val="19"/>
        </w:numPr>
        <w:autoSpaceDE/>
        <w:autoSpaceDN/>
        <w:adjustRightInd/>
        <w:snapToGrid/>
        <w:spacing w:after="0"/>
        <w:jc w:val="left"/>
        <w:rPr>
          <w:rFonts w:ascii="Times" w:eastAsia="MS Mincho" w:hAnsi="Times" w:cs="Times"/>
          <w:lang w:eastAsia="ja-JP"/>
        </w:rPr>
      </w:pPr>
      <w:r w:rsidRPr="006810C8">
        <w:rPr>
          <w:rFonts w:ascii="Times" w:eastAsia="MS Mincho" w:hAnsi="Times" w:cs="Times"/>
          <w:lang w:eastAsia="ja-JP"/>
        </w:rPr>
        <w:t>The UE may assume that the number of antenna ports is the same for LTE CRS as for NB-RS</w:t>
      </w:r>
    </w:p>
    <w:p w:rsidR="0009464F" w:rsidRPr="006810C8" w:rsidRDefault="0009464F" w:rsidP="0009464F">
      <w:pPr>
        <w:numPr>
          <w:ilvl w:val="1"/>
          <w:numId w:val="19"/>
        </w:numPr>
        <w:autoSpaceDE/>
        <w:autoSpaceDN/>
        <w:adjustRightInd/>
        <w:snapToGrid/>
        <w:spacing w:after="0"/>
        <w:jc w:val="left"/>
        <w:rPr>
          <w:rFonts w:ascii="Times" w:eastAsia="MS Mincho" w:hAnsi="Times" w:cs="Times"/>
          <w:lang w:eastAsia="ja-JP"/>
        </w:rPr>
      </w:pPr>
      <w:r w:rsidRPr="006810C8">
        <w:rPr>
          <w:rFonts w:ascii="Times" w:eastAsia="MS Mincho" w:hAnsi="Times" w:cs="Times"/>
          <w:lang w:eastAsia="ja-JP"/>
        </w:rPr>
        <w:t>The UE may assume that the channel can be inferred from both NB-RS and LTE CRS</w:t>
      </w:r>
    </w:p>
    <w:p w:rsidR="0009464F" w:rsidRPr="0009464F" w:rsidRDefault="0009464F" w:rsidP="0009464F">
      <w:pPr>
        <w:numPr>
          <w:ilvl w:val="2"/>
          <w:numId w:val="19"/>
        </w:numPr>
        <w:autoSpaceDE/>
        <w:autoSpaceDN/>
        <w:adjustRightInd/>
        <w:snapToGrid/>
        <w:spacing w:after="0"/>
        <w:jc w:val="left"/>
        <w:rPr>
          <w:rFonts w:ascii="Times" w:eastAsia="MS Mincho" w:hAnsi="Times" w:cs="Times"/>
          <w:lang w:eastAsia="ja-JP"/>
        </w:rPr>
      </w:pPr>
      <w:r w:rsidRPr="006810C8">
        <w:rPr>
          <w:rFonts w:ascii="Times" w:eastAsia="MS Mincho" w:hAnsi="Times" w:cs="Times"/>
          <w:lang w:eastAsia="ja-JP"/>
        </w:rPr>
        <w:t>LTE CRS port 0 is associated with NB-RS port 0 and LTE CRS port 1 is associated with NB-RS port 1</w:t>
      </w:r>
    </w:p>
    <w:p w:rsidR="0077223C" w:rsidRPr="0077223C" w:rsidRDefault="0077223C" w:rsidP="0077223C">
      <w:pPr>
        <w:numPr>
          <w:ilvl w:val="1"/>
          <w:numId w:val="19"/>
        </w:numPr>
        <w:autoSpaceDE/>
        <w:autoSpaceDN/>
        <w:adjustRightInd/>
        <w:snapToGrid/>
        <w:spacing w:after="0"/>
        <w:jc w:val="left"/>
        <w:rPr>
          <w:rFonts w:eastAsia="MS Mincho"/>
          <w:lang w:eastAsia="ja-JP"/>
        </w:rPr>
      </w:pPr>
      <w:r w:rsidRPr="0077223C">
        <w:rPr>
          <w:rFonts w:eastAsia="MS Mincho"/>
          <w:lang w:eastAsia="ja-JP"/>
        </w:rPr>
        <w:t>NB-RS power offset between NB-RS and LTE CRS is indicated in SIB</w:t>
      </w:r>
    </w:p>
    <w:p w:rsidR="0077223C" w:rsidRPr="0077223C" w:rsidRDefault="0077223C" w:rsidP="0077223C">
      <w:pPr>
        <w:numPr>
          <w:ilvl w:val="2"/>
          <w:numId w:val="19"/>
        </w:numPr>
        <w:autoSpaceDE/>
        <w:autoSpaceDN/>
        <w:adjustRightInd/>
        <w:snapToGrid/>
        <w:spacing w:after="0"/>
        <w:jc w:val="left"/>
        <w:rPr>
          <w:rFonts w:eastAsia="MS Mincho"/>
          <w:lang w:eastAsia="ja-JP"/>
        </w:rPr>
      </w:pPr>
      <w:r w:rsidRPr="0077223C">
        <w:rPr>
          <w:rFonts w:eastAsia="MS Mincho"/>
          <w:lang w:eastAsia="ja-JP"/>
        </w:rPr>
        <w:t>If there is no SIB indication, UE may assume the equal power between NB-RS and LTE CRS</w:t>
      </w:r>
    </w:p>
    <w:p w:rsidR="0009464F" w:rsidRPr="00037FBC" w:rsidRDefault="0009464F" w:rsidP="0009464F">
      <w:pPr>
        <w:numPr>
          <w:ilvl w:val="0"/>
          <w:numId w:val="19"/>
        </w:numPr>
        <w:autoSpaceDE/>
        <w:autoSpaceDN/>
        <w:adjustRightInd/>
        <w:snapToGrid/>
        <w:spacing w:after="0"/>
        <w:jc w:val="left"/>
        <w:rPr>
          <w:rFonts w:ascii="Times" w:eastAsia="MS Mincho" w:hAnsi="Times" w:cs="Times"/>
          <w:iCs/>
          <w:lang w:eastAsia="ja-JP"/>
        </w:rPr>
      </w:pPr>
      <w:r w:rsidRPr="00037FBC">
        <w:rPr>
          <w:rFonts w:ascii="Times" w:eastAsia="MS Mincho" w:hAnsi="Times" w:cs="Times"/>
          <w:iCs/>
          <w:lang w:eastAsia="ja-JP"/>
        </w:rPr>
        <w:t>LTE CRS is not precluded for an NB-IoT UE to use for DL demodulation and/or measurements for the cases when the number of antenna ports for LTE CRS and NB-RS is the same and takes a value of either 1 or 2</w:t>
      </w:r>
    </w:p>
    <w:p w:rsidR="0077223C" w:rsidRDefault="0077223C" w:rsidP="0077223C">
      <w:pPr>
        <w:autoSpaceDE/>
        <w:autoSpaceDN/>
        <w:adjustRightInd/>
        <w:snapToGrid/>
        <w:spacing w:after="0"/>
        <w:jc w:val="left"/>
        <w:rPr>
          <w:rFonts w:eastAsia="MS Mincho"/>
          <w:lang w:eastAsia="ja-JP"/>
        </w:rPr>
      </w:pPr>
    </w:p>
    <w:p w:rsidR="0077223C" w:rsidRDefault="00F67317" w:rsidP="00F67317">
      <w:pPr>
        <w:autoSpaceDE/>
        <w:autoSpaceDN/>
        <w:adjustRightInd/>
        <w:snapToGrid/>
        <w:spacing w:after="0"/>
        <w:jc w:val="left"/>
        <w:rPr>
          <w:rFonts w:eastAsia="MS Mincho"/>
          <w:lang w:eastAsia="ja-JP"/>
        </w:rPr>
      </w:pPr>
      <w:r>
        <w:rPr>
          <w:rFonts w:eastAsia="MS Mincho"/>
          <w:lang w:eastAsia="ja-JP"/>
        </w:rPr>
        <w:lastRenderedPageBreak/>
        <w:t>According to the agreements, t</w:t>
      </w:r>
      <w:r w:rsidR="00FB7BB3">
        <w:rPr>
          <w:rFonts w:eastAsia="MS Mincho"/>
          <w:lang w:eastAsia="ja-JP"/>
        </w:rPr>
        <w:t xml:space="preserve">he MIB content depends on the operation mode. </w:t>
      </w:r>
      <w:r w:rsidR="0077223C">
        <w:rPr>
          <w:rFonts w:eastAsia="MS Mincho"/>
          <w:lang w:eastAsia="ja-JP"/>
        </w:rPr>
        <w:t xml:space="preserve">On the other hand, following agreements have been reached on </w:t>
      </w:r>
      <w:r w:rsidR="00AB637F">
        <w:rPr>
          <w:rFonts w:eastAsia="MS Mincho"/>
          <w:lang w:eastAsia="ja-JP"/>
        </w:rPr>
        <w:t>N</w:t>
      </w:r>
      <w:r>
        <w:rPr>
          <w:rFonts w:eastAsia="MS Mincho"/>
          <w:lang w:eastAsia="ja-JP"/>
        </w:rPr>
        <w:t>B-</w:t>
      </w:r>
      <w:r w:rsidR="00AB637F">
        <w:rPr>
          <w:rFonts w:eastAsia="MS Mincho"/>
          <w:lang w:eastAsia="ja-JP"/>
        </w:rPr>
        <w:t xml:space="preserve">PDSCH </w:t>
      </w:r>
      <w:r w:rsidR="0077223C">
        <w:rPr>
          <w:rFonts w:eastAsia="MS Mincho"/>
          <w:lang w:eastAsia="ja-JP"/>
        </w:rPr>
        <w:t>multicarrier narrowband operation:</w:t>
      </w:r>
    </w:p>
    <w:p w:rsidR="00A20858" w:rsidRDefault="00A20858" w:rsidP="00A20858">
      <w:pPr>
        <w:autoSpaceDE/>
        <w:autoSpaceDN/>
        <w:adjustRightInd/>
        <w:snapToGrid/>
        <w:spacing w:after="0"/>
        <w:ind w:left="420"/>
        <w:jc w:val="left"/>
        <w:rPr>
          <w:rFonts w:eastAsia="MS Mincho"/>
          <w:lang w:eastAsia="ja-JP"/>
        </w:rPr>
      </w:pPr>
    </w:p>
    <w:p w:rsidR="0047580F" w:rsidRPr="00212B6B" w:rsidRDefault="0047580F" w:rsidP="0047580F">
      <w:pPr>
        <w:rPr>
          <w:rFonts w:eastAsia="MS Mincho"/>
          <w:b/>
          <w:highlight w:val="green"/>
          <w:u w:val="single"/>
          <w:lang w:eastAsia="ja-JP"/>
        </w:rPr>
      </w:pPr>
      <w:r w:rsidRPr="00212B6B">
        <w:rPr>
          <w:rFonts w:eastAsia="MS Mincho"/>
          <w:b/>
          <w:highlight w:val="green"/>
          <w:u w:val="single"/>
          <w:lang w:eastAsia="ja-JP"/>
        </w:rPr>
        <w:t>Agreements:</w:t>
      </w:r>
    </w:p>
    <w:p w:rsidR="0077223C" w:rsidRPr="0077223C" w:rsidRDefault="0077223C" w:rsidP="0077223C">
      <w:pPr>
        <w:pStyle w:val="ListParagraph"/>
        <w:numPr>
          <w:ilvl w:val="0"/>
          <w:numId w:val="16"/>
        </w:numPr>
        <w:ind w:firstLineChars="0"/>
        <w:rPr>
          <w:rFonts w:eastAsia="MS Mincho"/>
          <w:lang w:eastAsia="ja-JP"/>
        </w:rPr>
      </w:pPr>
      <w:r w:rsidRPr="0077223C">
        <w:rPr>
          <w:rFonts w:eastAsia="MS Mincho"/>
          <w:lang w:eastAsia="ja-JP"/>
        </w:rPr>
        <w:t>Any combination, i.e., inband+inband, inband+guardband, and guardband+guardband should be allowed for NB-IoT multi-carrier operation with the constraint that both guard-bands and the in-band are associated with the same LTE donor cell, i.e., the total span cannot exceed 110 PRBs from the same FFT</w:t>
      </w:r>
    </w:p>
    <w:p w:rsidR="00A20858" w:rsidRPr="00D142BE" w:rsidRDefault="00A20858" w:rsidP="00620C8B">
      <w:pPr>
        <w:autoSpaceDE/>
        <w:autoSpaceDN/>
        <w:adjustRightInd/>
        <w:snapToGrid/>
        <w:spacing w:after="0"/>
        <w:jc w:val="left"/>
        <w:rPr>
          <w:szCs w:val="20"/>
        </w:rPr>
      </w:pPr>
    </w:p>
    <w:p w:rsidR="008A0DF5" w:rsidRDefault="0056658D" w:rsidP="005D2BCB">
      <w:pPr>
        <w:rPr>
          <w:lang w:eastAsia="zh-CN"/>
        </w:rPr>
      </w:pPr>
      <w:r w:rsidRPr="0085744C">
        <w:rPr>
          <w:lang w:eastAsia="zh-CN"/>
        </w:rPr>
        <w:t>I</w:t>
      </w:r>
      <w:r w:rsidRPr="0085744C">
        <w:rPr>
          <w:rFonts w:hint="eastAsia"/>
          <w:lang w:eastAsia="zh-CN"/>
        </w:rPr>
        <w:t xml:space="preserve">n </w:t>
      </w:r>
      <w:r w:rsidR="00D43734" w:rsidRPr="00422A7F">
        <w:rPr>
          <w:lang w:eastAsia="zh-CN"/>
        </w:rPr>
        <w:t>this contribution we</w:t>
      </w:r>
      <w:r w:rsidR="008A0DF5" w:rsidRPr="00422A7F">
        <w:rPr>
          <w:lang w:eastAsia="zh-CN"/>
        </w:rPr>
        <w:t xml:space="preserve"> </w:t>
      </w:r>
      <w:r w:rsidR="00620C8B">
        <w:rPr>
          <w:lang w:eastAsia="zh-CN"/>
        </w:rPr>
        <w:t>discuss how to handle the parameter</w:t>
      </w:r>
      <w:r w:rsidR="005D2BCB">
        <w:rPr>
          <w:lang w:eastAsia="zh-CN"/>
        </w:rPr>
        <w:t xml:space="preserve"> </w:t>
      </w:r>
      <w:r w:rsidR="00AD6FAF">
        <w:rPr>
          <w:lang w:eastAsia="zh-CN"/>
        </w:rPr>
        <w:t>s</w:t>
      </w:r>
      <w:r w:rsidR="005D2BCB">
        <w:rPr>
          <w:lang w:eastAsia="zh-CN"/>
        </w:rPr>
        <w:t>ignaling</w:t>
      </w:r>
      <w:r w:rsidR="00620C8B">
        <w:rPr>
          <w:lang w:eastAsia="zh-CN"/>
        </w:rPr>
        <w:t xml:space="preserve"> in </w:t>
      </w:r>
      <w:r w:rsidR="005D2BCB">
        <w:rPr>
          <w:lang w:eastAsia="zh-CN"/>
        </w:rPr>
        <w:t xml:space="preserve">the </w:t>
      </w:r>
      <w:r w:rsidR="00620C8B">
        <w:rPr>
          <w:lang w:eastAsia="zh-CN"/>
        </w:rPr>
        <w:t>various agreed multi-carrier cases</w:t>
      </w:r>
      <w:r w:rsidR="008A0DF5" w:rsidRPr="0085744C">
        <w:rPr>
          <w:lang w:eastAsia="zh-CN"/>
        </w:rPr>
        <w:t>.</w:t>
      </w:r>
    </w:p>
    <w:p w:rsidR="000D2BE8" w:rsidRDefault="000D2BE8" w:rsidP="005D2BCB">
      <w:pPr>
        <w:rPr>
          <w:lang w:eastAsia="zh-CN"/>
        </w:rPr>
      </w:pPr>
    </w:p>
    <w:p w:rsidR="00284961" w:rsidRPr="00F0023B" w:rsidRDefault="00284961" w:rsidP="00284961">
      <w:pPr>
        <w:pStyle w:val="Heading1"/>
      </w:pPr>
      <w:r w:rsidRPr="00F0023B">
        <w:t>Discussion</w:t>
      </w:r>
    </w:p>
    <w:p w:rsidR="00654116" w:rsidRPr="00F0023B" w:rsidRDefault="00F67317" w:rsidP="00D81EE5">
      <w:r w:rsidRPr="00F0023B">
        <w:t>The MIB content</w:t>
      </w:r>
      <w:r w:rsidR="0022291D">
        <w:t>s</w:t>
      </w:r>
      <w:r w:rsidRPr="00F0023B">
        <w:t xml:space="preserve"> </w:t>
      </w:r>
      <w:r w:rsidR="0022291D">
        <w:t xml:space="preserve">for NB-IoT </w:t>
      </w:r>
      <w:r w:rsidRPr="00F0023B">
        <w:t>depend on the operation mode</w:t>
      </w:r>
      <w:r w:rsidR="0022291D">
        <w:t>,</w:t>
      </w:r>
      <w:r w:rsidR="0022291D" w:rsidRPr="00F0023B">
        <w:t xml:space="preserve"> </w:t>
      </w:r>
      <w:r w:rsidR="0022291D">
        <w:t>e</w:t>
      </w:r>
      <w:r w:rsidR="0022291D" w:rsidRPr="00F0023B">
        <w:t xml:space="preserve">specially </w:t>
      </w:r>
      <w:r w:rsidRPr="00F0023B">
        <w:t xml:space="preserve">the PRB index is signaled only in the inband mode. </w:t>
      </w:r>
      <w:r w:rsidR="0096470D" w:rsidRPr="00F0023B">
        <w:t>The CRS configuration related parameters are agreed to be signaled in the MIB</w:t>
      </w:r>
      <w:r w:rsidR="00F0023B" w:rsidRPr="00F0023B">
        <w:t>,</w:t>
      </w:r>
      <w:r w:rsidR="0096470D" w:rsidRPr="00F0023B">
        <w:t xml:space="preserve"> except the possible power offset between NB-RS and LTE CRS which has been </w:t>
      </w:r>
      <w:r w:rsidR="0059566D" w:rsidRPr="00F0023B">
        <w:t>agreed</w:t>
      </w:r>
      <w:r w:rsidR="0096470D" w:rsidRPr="00F0023B">
        <w:t xml:space="preserve"> to be signaled in the SIB. Hence, i</w:t>
      </w:r>
      <w:r w:rsidR="002F2B00" w:rsidRPr="00F0023B">
        <w:t>f the anchor carrier</w:t>
      </w:r>
      <w:r w:rsidR="00654116" w:rsidRPr="00F0023B">
        <w:t xml:space="preserve"> transmitting the </w:t>
      </w:r>
      <w:r w:rsidR="0022291D">
        <w:t>NB-</w:t>
      </w:r>
      <w:r w:rsidR="00654116" w:rsidRPr="00F0023B">
        <w:t>PBCH</w:t>
      </w:r>
      <w:r w:rsidR="002F2B00" w:rsidRPr="00F0023B">
        <w:t xml:space="preserve"> </w:t>
      </w:r>
      <w:r w:rsidR="0022291D">
        <w:t>works</w:t>
      </w:r>
      <w:r w:rsidR="0022291D" w:rsidRPr="00F0023B">
        <w:t xml:space="preserve"> </w:t>
      </w:r>
      <w:r w:rsidR="002F2B00" w:rsidRPr="00F0023B">
        <w:t xml:space="preserve">in the inband mode, the </w:t>
      </w:r>
      <w:r w:rsidR="00323A1A" w:rsidRPr="00F0023B">
        <w:t xml:space="preserve">CRS </w:t>
      </w:r>
      <w:r w:rsidR="002F2B00" w:rsidRPr="00F0023B">
        <w:t xml:space="preserve">parameters </w:t>
      </w:r>
      <w:r w:rsidR="00801AC1" w:rsidRPr="00F0023B">
        <w:t>may be</w:t>
      </w:r>
      <w:r w:rsidR="002F2B00" w:rsidRPr="00F0023B">
        <w:t xml:space="preserve"> signaled</w:t>
      </w:r>
      <w:r w:rsidR="00654116" w:rsidRPr="00F0023B">
        <w:t xml:space="preserve"> and they are applicable to at least the anchor carrier</w:t>
      </w:r>
      <w:r w:rsidR="00613193" w:rsidRPr="00F0023B">
        <w:t xml:space="preserve"> in the multi carrier setup</w:t>
      </w:r>
      <w:r w:rsidR="00654116" w:rsidRPr="00F0023B">
        <w:t>.</w:t>
      </w:r>
      <w:r w:rsidR="00F512DA">
        <w:t xml:space="preserve"> In the following, </w:t>
      </w:r>
      <w:r w:rsidR="00F67989">
        <w:t xml:space="preserve">signaling </w:t>
      </w:r>
      <w:r w:rsidR="00F512DA">
        <w:t>configuration is discussed for different deployment scenario</w:t>
      </w:r>
      <w:r w:rsidR="00F67989">
        <w:t>s</w:t>
      </w:r>
      <w:r w:rsidR="00F512DA">
        <w:t xml:space="preserve"> for multi-carriers operation. </w:t>
      </w:r>
    </w:p>
    <w:p w:rsidR="00654116" w:rsidRPr="000D2BE8" w:rsidRDefault="00654116" w:rsidP="00654116">
      <w:pPr>
        <w:rPr>
          <w:b/>
          <w:bCs/>
          <w:u w:val="single"/>
        </w:rPr>
      </w:pPr>
      <w:r w:rsidRPr="000D2BE8">
        <w:rPr>
          <w:b/>
          <w:bCs/>
          <w:u w:val="single"/>
        </w:rPr>
        <w:t>Inband anchor carrier and guar</w:t>
      </w:r>
      <w:r w:rsidR="00F0023B" w:rsidRPr="000D2BE8">
        <w:rPr>
          <w:b/>
          <w:bCs/>
          <w:u w:val="single"/>
        </w:rPr>
        <w:t>d</w:t>
      </w:r>
      <w:r w:rsidRPr="000D2BE8">
        <w:rPr>
          <w:b/>
          <w:bCs/>
          <w:u w:val="single"/>
        </w:rPr>
        <w:t>band non-anchor carrier</w:t>
      </w:r>
    </w:p>
    <w:p w:rsidR="00364071" w:rsidRPr="00F0023B" w:rsidRDefault="00654116" w:rsidP="00364071">
      <w:r w:rsidRPr="00F0023B">
        <w:t xml:space="preserve">If the anchor carrier </w:t>
      </w:r>
      <w:r w:rsidR="0022291D">
        <w:t>works</w:t>
      </w:r>
      <w:r w:rsidR="0022291D" w:rsidRPr="00F0023B">
        <w:t xml:space="preserve"> </w:t>
      </w:r>
      <w:r w:rsidRPr="00F0023B">
        <w:t>in the inband mode</w:t>
      </w:r>
      <w:r w:rsidR="0022291D">
        <w:t xml:space="preserve"> and</w:t>
      </w:r>
      <w:r w:rsidR="0096470D" w:rsidRPr="00F0023B">
        <w:t xml:space="preserve"> </w:t>
      </w:r>
      <w:r w:rsidRPr="00F0023B">
        <w:t>the CRS parameters are signaled</w:t>
      </w:r>
      <w:r w:rsidR="0022291D">
        <w:t>, then</w:t>
      </w:r>
      <w:r w:rsidRPr="00F0023B">
        <w:t xml:space="preserve"> </w:t>
      </w:r>
      <w:r w:rsidR="0022291D">
        <w:t>CRS</w:t>
      </w:r>
      <w:r w:rsidRPr="00F0023B">
        <w:t xml:space="preserve"> can be utilized by the UE while receiving </w:t>
      </w:r>
      <w:r w:rsidR="0022291D">
        <w:t xml:space="preserve">on </w:t>
      </w:r>
      <w:r w:rsidR="00364071" w:rsidRPr="00F0023B">
        <w:t>other</w:t>
      </w:r>
      <w:r w:rsidRPr="00F0023B">
        <w:t xml:space="preserve"> carriers </w:t>
      </w:r>
      <w:r w:rsidR="0022291D">
        <w:t xml:space="preserve">that are also </w:t>
      </w:r>
      <w:r w:rsidRPr="00F0023B">
        <w:t>in the inband mode</w:t>
      </w:r>
      <w:r w:rsidR="008A205D" w:rsidRPr="00F0023B">
        <w:t xml:space="preserve"> as long as the PRB </w:t>
      </w:r>
      <w:r w:rsidR="0022291D" w:rsidRPr="00F0023B">
        <w:t>index</w:t>
      </w:r>
      <w:r w:rsidR="0022291D">
        <w:t>es</w:t>
      </w:r>
      <w:r w:rsidR="008A205D" w:rsidRPr="00F0023B">
        <w:t xml:space="preserve"> of the other carriers </w:t>
      </w:r>
      <w:r w:rsidR="0022291D">
        <w:t>are</w:t>
      </w:r>
      <w:r w:rsidR="0022291D" w:rsidRPr="00F0023B">
        <w:t xml:space="preserve"> </w:t>
      </w:r>
      <w:r w:rsidR="008A205D" w:rsidRPr="00F0023B">
        <w:t>also known after RRC configuration</w:t>
      </w:r>
      <w:r w:rsidRPr="00F0023B">
        <w:t xml:space="preserve">. It was also agreed that the possible </w:t>
      </w:r>
      <w:r w:rsidR="000004D6">
        <w:t xml:space="preserve">carrier for </w:t>
      </w:r>
      <w:r w:rsidRPr="00F0023B">
        <w:t>multi</w:t>
      </w:r>
      <w:r w:rsidR="0022291D">
        <w:t>-</w:t>
      </w:r>
      <w:r w:rsidRPr="00F0023B">
        <w:t>carriers</w:t>
      </w:r>
      <w:r w:rsidR="000004D6">
        <w:t xml:space="preserve"> operations</w:t>
      </w:r>
      <w:r w:rsidR="00364071" w:rsidRPr="00F0023B">
        <w:t xml:space="preserve"> could be in the guardband mode</w:t>
      </w:r>
      <w:r w:rsidR="008A205D" w:rsidRPr="00F0023B">
        <w:t xml:space="preserve"> but still within </w:t>
      </w:r>
      <w:r w:rsidR="008A205D" w:rsidRPr="00F0023B">
        <w:rPr>
          <w:rFonts w:eastAsia="MS Mincho"/>
          <w:iCs/>
          <w:lang w:eastAsia="ja-JP"/>
        </w:rPr>
        <w:t>110 PRBs from the same FFT</w:t>
      </w:r>
      <w:r w:rsidR="00364071" w:rsidRPr="00F0023B">
        <w:t>. CRS is not transmitted in the guardband mode</w:t>
      </w:r>
      <w:r w:rsidR="000D2BE8">
        <w:t>,</w:t>
      </w:r>
      <w:r w:rsidR="00364071" w:rsidRPr="00F0023B">
        <w:t xml:space="preserve"> </w:t>
      </w:r>
      <w:r w:rsidR="00017B72">
        <w:t>therefore</w:t>
      </w:r>
      <w:r w:rsidR="00017B72" w:rsidRPr="00F0023B">
        <w:t xml:space="preserve"> </w:t>
      </w:r>
      <w:r w:rsidR="008A205D" w:rsidRPr="00F0023B">
        <w:t xml:space="preserve">additional </w:t>
      </w:r>
      <w:r w:rsidR="00364071" w:rsidRPr="00F0023B">
        <w:t>parameters are not needed</w:t>
      </w:r>
      <w:r w:rsidR="007D54E2">
        <w:t xml:space="preserve"> for </w:t>
      </w:r>
      <w:r w:rsidR="007D54E2" w:rsidRPr="00F0023B">
        <w:t>guardband</w:t>
      </w:r>
      <w:r w:rsidR="007D54E2">
        <w:t xml:space="preserve"> non-anchor carrier</w:t>
      </w:r>
      <w:r w:rsidR="00364071" w:rsidRPr="00F0023B">
        <w:t>.</w:t>
      </w:r>
    </w:p>
    <w:p w:rsidR="00364071" w:rsidRPr="000D2BE8" w:rsidRDefault="00DB2E15" w:rsidP="00DB2E15">
      <w:pPr>
        <w:rPr>
          <w:b/>
          <w:bCs/>
          <w:u w:val="single"/>
        </w:rPr>
      </w:pPr>
      <w:r w:rsidRPr="000D2BE8">
        <w:rPr>
          <w:b/>
          <w:bCs/>
          <w:u w:val="single"/>
        </w:rPr>
        <w:t>G</w:t>
      </w:r>
      <w:r w:rsidR="00364071" w:rsidRPr="000D2BE8">
        <w:rPr>
          <w:b/>
          <w:bCs/>
          <w:u w:val="single"/>
        </w:rPr>
        <w:t>uardband anchor carrier and inband non-anchor carrier</w:t>
      </w:r>
    </w:p>
    <w:p w:rsidR="00364071" w:rsidRPr="00F0023B" w:rsidRDefault="005A0156" w:rsidP="001B6716">
      <w:pPr>
        <w:rPr>
          <w:rFonts w:eastAsia="MS Mincho"/>
          <w:iCs/>
          <w:lang w:eastAsia="ja-JP"/>
        </w:rPr>
      </w:pPr>
      <w:r w:rsidRPr="00F0023B">
        <w:t xml:space="preserve">If the anchor carrier is in the guardband mode, only the raster offset </w:t>
      </w:r>
      <w:r w:rsidR="0042733F">
        <w:t xml:space="preserve">from </w:t>
      </w:r>
      <w:r w:rsidR="00F512DA">
        <w:t xml:space="preserve">the set of </w:t>
      </w:r>
      <w:r w:rsidR="0042733F" w:rsidRPr="00F0023B">
        <w:rPr>
          <w:rFonts w:eastAsia="MS Mincho"/>
          <w:iCs/>
          <w:lang w:eastAsia="ja-JP"/>
        </w:rPr>
        <w:t>{2.5, -2.5, 7.5, -7.5}</w:t>
      </w:r>
      <w:r w:rsidR="0042733F">
        <w:rPr>
          <w:rFonts w:eastAsia="MS Mincho"/>
          <w:iCs/>
          <w:lang w:eastAsia="ja-JP"/>
        </w:rPr>
        <w:t xml:space="preserve"> </w:t>
      </w:r>
      <w:r w:rsidRPr="00F0023B">
        <w:t>is signaled</w:t>
      </w:r>
      <w:r w:rsidRPr="00F0023B">
        <w:rPr>
          <w:rFonts w:eastAsia="MS Mincho"/>
          <w:iCs/>
          <w:lang w:eastAsia="ja-JP"/>
        </w:rPr>
        <w:t xml:space="preserve">. If the non-anchor carrier is in the inband mode, </w:t>
      </w:r>
      <w:r w:rsidR="001F02E3" w:rsidRPr="00F0023B">
        <w:rPr>
          <w:rFonts w:eastAsia="MS Mincho"/>
          <w:iCs/>
          <w:lang w:eastAsia="ja-JP"/>
        </w:rPr>
        <w:t xml:space="preserve">it could still be desirable being able to utilize the LTE CRS </w:t>
      </w:r>
      <w:r w:rsidR="0042733F">
        <w:rPr>
          <w:rFonts w:eastAsia="MS Mincho"/>
          <w:iCs/>
          <w:lang w:eastAsia="ja-JP"/>
        </w:rPr>
        <w:t>for</w:t>
      </w:r>
      <w:r w:rsidR="0042733F" w:rsidRPr="00F0023B">
        <w:rPr>
          <w:rFonts w:eastAsia="MS Mincho"/>
          <w:iCs/>
          <w:lang w:eastAsia="ja-JP"/>
        </w:rPr>
        <w:t xml:space="preserve"> </w:t>
      </w:r>
      <w:r w:rsidR="001F02E3" w:rsidRPr="00F0023B">
        <w:rPr>
          <w:rFonts w:eastAsia="MS Mincho"/>
          <w:iCs/>
          <w:lang w:eastAsia="ja-JP"/>
        </w:rPr>
        <w:t>channel estimation</w:t>
      </w:r>
      <w:r w:rsidR="0042733F">
        <w:rPr>
          <w:rFonts w:eastAsia="MS Mincho"/>
          <w:iCs/>
          <w:lang w:eastAsia="ja-JP"/>
        </w:rPr>
        <w:t xml:space="preserve"> improvement</w:t>
      </w:r>
      <w:r w:rsidR="001F02E3" w:rsidRPr="00F0023B">
        <w:rPr>
          <w:rFonts w:eastAsia="MS Mincho"/>
          <w:iCs/>
          <w:lang w:eastAsia="ja-JP"/>
        </w:rPr>
        <w:t xml:space="preserve">. </w:t>
      </w:r>
      <w:r w:rsidR="00537E73" w:rsidRPr="00F0023B">
        <w:rPr>
          <w:rFonts w:eastAsia="MS Mincho"/>
          <w:iCs/>
          <w:lang w:eastAsia="ja-JP"/>
        </w:rPr>
        <w:t xml:space="preserve">Hence, </w:t>
      </w:r>
      <w:r w:rsidRPr="00F0023B">
        <w:rPr>
          <w:rFonts w:eastAsia="MS Mincho"/>
          <w:iCs/>
          <w:lang w:eastAsia="ja-JP"/>
        </w:rPr>
        <w:t>the CRS configuration could be included in the RRC configuration information.</w:t>
      </w:r>
      <w:r w:rsidR="00537E73" w:rsidRPr="00F0023B">
        <w:rPr>
          <w:rFonts w:eastAsia="MS Mincho"/>
          <w:iCs/>
          <w:lang w:eastAsia="ja-JP"/>
        </w:rPr>
        <w:t xml:space="preserve"> </w:t>
      </w:r>
      <w:r w:rsidR="0042733F">
        <w:rPr>
          <w:rFonts w:eastAsia="MS Mincho"/>
          <w:iCs/>
          <w:lang w:eastAsia="ja-JP"/>
        </w:rPr>
        <w:t>Specifically</w:t>
      </w:r>
      <w:r w:rsidR="00537E73" w:rsidRPr="00F0023B">
        <w:rPr>
          <w:rFonts w:eastAsia="MS Mincho"/>
          <w:iCs/>
          <w:lang w:eastAsia="ja-JP"/>
        </w:rPr>
        <w:t xml:space="preserve">, </w:t>
      </w:r>
      <w:r w:rsidR="00A3561F" w:rsidRPr="00F0023B">
        <w:rPr>
          <w:rFonts w:eastAsia="MS Mincho"/>
          <w:iCs/>
          <w:lang w:eastAsia="ja-JP"/>
        </w:rPr>
        <w:t>similar</w:t>
      </w:r>
      <w:r w:rsidR="00537E73" w:rsidRPr="00F0023B">
        <w:rPr>
          <w:rFonts w:eastAsia="MS Mincho"/>
          <w:iCs/>
          <w:lang w:eastAsia="ja-JP"/>
        </w:rPr>
        <w:t xml:space="preserve"> parameters as in the MIB are required </w:t>
      </w:r>
      <w:r w:rsidR="003E41B6">
        <w:rPr>
          <w:rFonts w:eastAsia="MS Mincho"/>
          <w:iCs/>
          <w:lang w:eastAsia="ja-JP"/>
        </w:rPr>
        <w:t xml:space="preserve">for fulfilling such purpose </w:t>
      </w:r>
      <w:r w:rsidR="00537E73" w:rsidRPr="00F0023B">
        <w:rPr>
          <w:rFonts w:eastAsia="MS Mincho"/>
          <w:iCs/>
          <w:lang w:eastAsia="ja-JP"/>
        </w:rPr>
        <w:t>consisting of at least: the same PCI indicat</w:t>
      </w:r>
      <w:r w:rsidR="00A5577D">
        <w:rPr>
          <w:rFonts w:eastAsia="MS Mincho"/>
          <w:iCs/>
          <w:lang w:eastAsia="ja-JP"/>
        </w:rPr>
        <w:t>or and</w:t>
      </w:r>
      <w:r w:rsidR="00537E73" w:rsidRPr="00F0023B">
        <w:rPr>
          <w:rFonts w:eastAsia="MS Mincho"/>
          <w:iCs/>
          <w:lang w:eastAsia="ja-JP"/>
        </w:rPr>
        <w:t xml:space="preserve"> </w:t>
      </w:r>
      <w:r w:rsidR="00794F1A" w:rsidRPr="00F0023B">
        <w:rPr>
          <w:rFonts w:eastAsia="MS Mincho"/>
          <w:iCs/>
          <w:lang w:eastAsia="ja-JP"/>
        </w:rPr>
        <w:t xml:space="preserve">PRB index in the </w:t>
      </w:r>
      <w:r w:rsidR="00A3561F" w:rsidRPr="00F0023B">
        <w:rPr>
          <w:rFonts w:eastAsia="MS Mincho"/>
          <w:iCs/>
          <w:lang w:eastAsia="ja-JP"/>
        </w:rPr>
        <w:t>LTE.</w:t>
      </w:r>
    </w:p>
    <w:p w:rsidR="003C4A18" w:rsidRPr="00F0023B" w:rsidRDefault="003C4A18" w:rsidP="00793F29">
      <w:pPr>
        <w:rPr>
          <w:rFonts w:eastAsia="MS Mincho"/>
          <w:iCs/>
          <w:lang w:eastAsia="ja-JP"/>
        </w:rPr>
      </w:pPr>
      <w:r w:rsidRPr="00F0023B">
        <w:rPr>
          <w:rFonts w:eastAsia="MS Mincho"/>
          <w:iCs/>
          <w:lang w:eastAsia="ja-JP"/>
        </w:rPr>
        <w:t xml:space="preserve">As it has been agreed that the total </w:t>
      </w:r>
      <w:r w:rsidR="00831338">
        <w:rPr>
          <w:rFonts w:eastAsia="MS Mincho"/>
          <w:iCs/>
          <w:lang w:eastAsia="ja-JP"/>
        </w:rPr>
        <w:t xml:space="preserve">bandwidth </w:t>
      </w:r>
      <w:r w:rsidRPr="00F0023B">
        <w:rPr>
          <w:rFonts w:eastAsia="MS Mincho"/>
          <w:iCs/>
          <w:lang w:eastAsia="ja-JP"/>
        </w:rPr>
        <w:t xml:space="preserve">span does not exceed 110 PRBs from the same FFT, the </w:t>
      </w:r>
      <w:r w:rsidR="00A3561F" w:rsidRPr="00F0023B">
        <w:rPr>
          <w:rFonts w:eastAsia="MS Mincho"/>
          <w:i/>
          <w:lang w:eastAsia="ja-JP"/>
        </w:rPr>
        <w:t xml:space="preserve">additional PRB </w:t>
      </w:r>
      <w:r w:rsidR="00E06B6D">
        <w:rPr>
          <w:rFonts w:eastAsia="MS Mincho"/>
          <w:i/>
          <w:lang w:eastAsia="ja-JP"/>
        </w:rPr>
        <w:t>offset</w:t>
      </w:r>
      <w:r w:rsidR="00A3561F" w:rsidRPr="00F0023B">
        <w:rPr>
          <w:rFonts w:eastAsia="MS Mincho"/>
          <w:iCs/>
          <w:lang w:eastAsia="ja-JP"/>
        </w:rPr>
        <w:t xml:space="preserve"> informing the position of the other carrier</w:t>
      </w:r>
      <w:r w:rsidR="00C43D5A" w:rsidRPr="00F0023B">
        <w:rPr>
          <w:rFonts w:eastAsia="MS Mincho"/>
          <w:iCs/>
          <w:lang w:eastAsia="ja-JP"/>
        </w:rPr>
        <w:t xml:space="preserve"> could be understood as a</w:t>
      </w:r>
      <w:r w:rsidR="00831338">
        <w:rPr>
          <w:rFonts w:eastAsia="MS Mincho"/>
          <w:iCs/>
          <w:lang w:eastAsia="ja-JP"/>
        </w:rPr>
        <w:t>n</w:t>
      </w:r>
      <w:r w:rsidR="00C43D5A" w:rsidRPr="00F0023B">
        <w:rPr>
          <w:rFonts w:eastAsia="MS Mincho"/>
          <w:iCs/>
          <w:lang w:eastAsia="ja-JP"/>
        </w:rPr>
        <w:t xml:space="preserve"> </w:t>
      </w:r>
      <w:r w:rsidR="00831338">
        <w:rPr>
          <w:rFonts w:eastAsia="MS Mincho"/>
          <w:iCs/>
          <w:lang w:eastAsia="ja-JP"/>
        </w:rPr>
        <w:t>offset</w:t>
      </w:r>
      <w:r w:rsidR="00831338" w:rsidRPr="00F0023B">
        <w:rPr>
          <w:rFonts w:eastAsia="MS Mincho"/>
          <w:iCs/>
          <w:lang w:eastAsia="ja-JP"/>
        </w:rPr>
        <w:t xml:space="preserve"> </w:t>
      </w:r>
      <w:r w:rsidR="00C43D5A" w:rsidRPr="00F0023B">
        <w:rPr>
          <w:rFonts w:eastAsia="MS Mincho"/>
          <w:iCs/>
          <w:lang w:eastAsia="ja-JP"/>
        </w:rPr>
        <w:t xml:space="preserve">between the anchor carrier and the </w:t>
      </w:r>
      <w:r w:rsidR="00642388">
        <w:rPr>
          <w:rFonts w:eastAsia="MS Mincho"/>
          <w:iCs/>
          <w:lang w:eastAsia="ja-JP"/>
        </w:rPr>
        <w:t>non-anchor</w:t>
      </w:r>
      <w:r w:rsidR="00642388" w:rsidRPr="00F0023B">
        <w:rPr>
          <w:rFonts w:eastAsia="MS Mincho"/>
          <w:iCs/>
          <w:lang w:eastAsia="ja-JP"/>
        </w:rPr>
        <w:t xml:space="preserve"> </w:t>
      </w:r>
      <w:r w:rsidR="00C43D5A" w:rsidRPr="00F0023B">
        <w:rPr>
          <w:rFonts w:eastAsia="MS Mincho"/>
          <w:iCs/>
          <w:lang w:eastAsia="ja-JP"/>
        </w:rPr>
        <w:t xml:space="preserve">carrier. </w:t>
      </w:r>
      <w:r w:rsidR="00895793" w:rsidRPr="00F0023B">
        <w:rPr>
          <w:rFonts w:eastAsia="MS Mincho"/>
          <w:iCs/>
          <w:lang w:eastAsia="ja-JP"/>
        </w:rPr>
        <w:t>The raster offset is already known from NB-PBCH and</w:t>
      </w:r>
      <w:r w:rsidR="00343FF4" w:rsidRPr="00F0023B">
        <w:rPr>
          <w:rFonts w:eastAsia="MS Mincho"/>
          <w:iCs/>
          <w:lang w:eastAsia="ja-JP"/>
        </w:rPr>
        <w:t xml:space="preserve"> no additional </w:t>
      </w:r>
      <w:r w:rsidR="00A606DA" w:rsidRPr="00F0023B">
        <w:rPr>
          <w:rFonts w:eastAsia="MS Mincho"/>
          <w:iCs/>
          <w:lang w:eastAsia="ja-JP"/>
        </w:rPr>
        <w:t xml:space="preserve">raster </w:t>
      </w:r>
      <w:r w:rsidR="00343FF4" w:rsidRPr="00F0023B">
        <w:rPr>
          <w:rFonts w:eastAsia="MS Mincho"/>
          <w:iCs/>
          <w:lang w:eastAsia="ja-JP"/>
        </w:rPr>
        <w:t>parameters are needed if the PRB space is assumed cont</w:t>
      </w:r>
      <w:r w:rsidR="009A5602" w:rsidRPr="00F0023B">
        <w:rPr>
          <w:rFonts w:eastAsia="MS Mincho"/>
          <w:iCs/>
          <w:lang w:eastAsia="ja-JP"/>
        </w:rPr>
        <w:t>i</w:t>
      </w:r>
      <w:r w:rsidR="00343FF4" w:rsidRPr="00F0023B">
        <w:rPr>
          <w:rFonts w:eastAsia="MS Mincho"/>
          <w:iCs/>
          <w:lang w:eastAsia="ja-JP"/>
        </w:rPr>
        <w:t>nuo</w:t>
      </w:r>
      <w:r w:rsidR="00A606DA" w:rsidRPr="00F0023B">
        <w:rPr>
          <w:rFonts w:eastAsia="MS Mincho"/>
          <w:iCs/>
          <w:lang w:eastAsia="ja-JP"/>
        </w:rPr>
        <w:t>u</w:t>
      </w:r>
      <w:r w:rsidR="00343FF4" w:rsidRPr="00F0023B">
        <w:rPr>
          <w:rFonts w:eastAsia="MS Mincho"/>
          <w:iCs/>
          <w:lang w:eastAsia="ja-JP"/>
        </w:rPr>
        <w:t>s</w:t>
      </w:r>
      <w:r w:rsidR="00895793" w:rsidRPr="00F0023B">
        <w:rPr>
          <w:rFonts w:eastAsia="MS Mincho"/>
          <w:iCs/>
          <w:lang w:eastAsia="ja-JP"/>
        </w:rPr>
        <w:t xml:space="preserve">. </w:t>
      </w:r>
      <w:r w:rsidR="001F1474">
        <w:rPr>
          <w:rFonts w:eastAsia="MS Mincho"/>
          <w:iCs/>
          <w:lang w:eastAsia="ja-JP"/>
        </w:rPr>
        <w:t xml:space="preserve">If DC carrier is between </w:t>
      </w:r>
      <w:r w:rsidR="00642388">
        <w:rPr>
          <w:rFonts w:eastAsia="MS Mincho"/>
          <w:iCs/>
          <w:lang w:eastAsia="ja-JP"/>
        </w:rPr>
        <w:t xml:space="preserve">the </w:t>
      </w:r>
      <w:r w:rsidR="001F1474">
        <w:rPr>
          <w:rFonts w:eastAsia="MS Mincho"/>
          <w:iCs/>
          <w:lang w:eastAsia="ja-JP"/>
        </w:rPr>
        <w:t xml:space="preserve">anchor carrier and additional PRB then additional 15kHz offset needs to be added, which requires one additional bit. </w:t>
      </w:r>
      <w:r w:rsidR="00F77846" w:rsidRPr="00D976C9">
        <w:rPr>
          <w:rFonts w:eastAsia="MS Mincho"/>
          <w:iCs/>
          <w:lang w:eastAsia="ja-JP"/>
        </w:rPr>
        <w:t>T</w:t>
      </w:r>
      <w:r w:rsidR="00C43D5A" w:rsidRPr="00D976C9">
        <w:rPr>
          <w:rFonts w:eastAsia="MS Mincho"/>
          <w:iCs/>
          <w:lang w:eastAsia="ja-JP"/>
        </w:rPr>
        <w:t xml:space="preserve">he </w:t>
      </w:r>
      <w:r w:rsidR="001F1474">
        <w:rPr>
          <w:rFonts w:eastAsia="MS Mincho"/>
          <w:iCs/>
          <w:lang w:eastAsia="ja-JP"/>
        </w:rPr>
        <w:t xml:space="preserve">PRB </w:t>
      </w:r>
      <w:r w:rsidR="00E06B6D">
        <w:rPr>
          <w:rFonts w:eastAsia="MS Mincho"/>
          <w:iCs/>
          <w:lang w:eastAsia="ja-JP"/>
        </w:rPr>
        <w:t>offset</w:t>
      </w:r>
      <w:r w:rsidR="00F77846" w:rsidRPr="00D976C9">
        <w:rPr>
          <w:rFonts w:eastAsia="MS Mincho"/>
          <w:iCs/>
          <w:lang w:eastAsia="ja-JP"/>
        </w:rPr>
        <w:t xml:space="preserve"> </w:t>
      </w:r>
      <w:r w:rsidR="00C43D5A" w:rsidRPr="00D976C9">
        <w:rPr>
          <w:rFonts w:eastAsia="MS Mincho"/>
          <w:iCs/>
          <w:lang w:eastAsia="ja-JP"/>
        </w:rPr>
        <w:t>value should</w:t>
      </w:r>
      <w:r w:rsidR="00A3561F" w:rsidRPr="00D976C9">
        <w:rPr>
          <w:rFonts w:eastAsia="MS Mincho"/>
          <w:iCs/>
          <w:lang w:eastAsia="ja-JP"/>
        </w:rPr>
        <w:t xml:space="preserve"> cover range from [-10</w:t>
      </w:r>
      <w:r w:rsidR="001F1474">
        <w:rPr>
          <w:rFonts w:eastAsia="MS Mincho"/>
          <w:iCs/>
          <w:lang w:eastAsia="ja-JP"/>
        </w:rPr>
        <w:t>5</w:t>
      </w:r>
      <w:r w:rsidR="00A3561F" w:rsidRPr="00D976C9">
        <w:rPr>
          <w:rFonts w:eastAsia="MS Mincho"/>
          <w:iCs/>
          <w:lang w:eastAsia="ja-JP"/>
        </w:rPr>
        <w:t>, 10</w:t>
      </w:r>
      <w:r w:rsidR="001F1474">
        <w:rPr>
          <w:rFonts w:eastAsia="MS Mincho"/>
          <w:iCs/>
          <w:lang w:eastAsia="ja-JP"/>
        </w:rPr>
        <w:t>5</w:t>
      </w:r>
      <w:r w:rsidR="00A3561F" w:rsidRPr="00D976C9">
        <w:rPr>
          <w:rFonts w:eastAsia="MS Mincho"/>
          <w:iCs/>
          <w:lang w:eastAsia="ja-JP"/>
        </w:rPr>
        <w:t>]</w:t>
      </w:r>
      <w:r w:rsidR="009A5602" w:rsidRPr="00D976C9">
        <w:rPr>
          <w:rFonts w:eastAsia="MS Mincho"/>
          <w:iCs/>
          <w:lang w:eastAsia="ja-JP"/>
        </w:rPr>
        <w:t xml:space="preserve"> in order to cover high and low end </w:t>
      </w:r>
      <w:r w:rsidR="001F1474">
        <w:rPr>
          <w:rFonts w:eastAsia="MS Mincho"/>
          <w:iCs/>
          <w:lang w:eastAsia="ja-JP"/>
        </w:rPr>
        <w:t xml:space="preserve">of </w:t>
      </w:r>
      <w:r w:rsidR="009A5602" w:rsidRPr="00D976C9">
        <w:rPr>
          <w:rFonts w:eastAsia="MS Mincho"/>
          <w:iCs/>
          <w:lang w:eastAsia="ja-JP"/>
        </w:rPr>
        <w:t>guardbands</w:t>
      </w:r>
      <w:r w:rsidR="00A3561F" w:rsidRPr="00D976C9">
        <w:rPr>
          <w:rFonts w:eastAsia="MS Mincho"/>
          <w:iCs/>
          <w:lang w:eastAsia="ja-JP"/>
        </w:rPr>
        <w:t xml:space="preserve">. </w:t>
      </w:r>
      <w:r w:rsidR="00405FE6" w:rsidRPr="00D976C9">
        <w:rPr>
          <w:rFonts w:eastAsia="MS Mincho"/>
          <w:iCs/>
          <w:lang w:eastAsia="ja-JP"/>
        </w:rPr>
        <w:t xml:space="preserve">However, </w:t>
      </w:r>
      <w:r w:rsidR="00C43D5A" w:rsidRPr="00D976C9">
        <w:rPr>
          <w:rFonts w:eastAsia="MS Mincho"/>
          <w:iCs/>
          <w:lang w:eastAsia="ja-JP"/>
        </w:rPr>
        <w:t xml:space="preserve">the value may be </w:t>
      </w:r>
      <w:r w:rsidR="00405FE6" w:rsidRPr="00D976C9">
        <w:rPr>
          <w:rFonts w:eastAsia="MS Mincho"/>
          <w:iCs/>
          <w:lang w:eastAsia="ja-JP"/>
        </w:rPr>
        <w:t>different from the PRB i</w:t>
      </w:r>
      <w:r w:rsidR="00C43D5A" w:rsidRPr="00D976C9">
        <w:rPr>
          <w:rFonts w:eastAsia="MS Mincho"/>
          <w:iCs/>
          <w:lang w:eastAsia="ja-JP"/>
        </w:rPr>
        <w:t xml:space="preserve">ndex in the LTE system and this </w:t>
      </w:r>
      <w:r w:rsidR="00793F29" w:rsidRPr="00D976C9">
        <w:rPr>
          <w:rFonts w:eastAsia="MS Mincho"/>
          <w:iCs/>
          <w:lang w:eastAsia="ja-JP"/>
        </w:rPr>
        <w:t>information</w:t>
      </w:r>
      <w:r w:rsidR="00C43D5A" w:rsidRPr="00D976C9">
        <w:rPr>
          <w:rFonts w:eastAsia="MS Mincho"/>
          <w:iCs/>
          <w:lang w:eastAsia="ja-JP"/>
        </w:rPr>
        <w:t xml:space="preserve"> would need to be signaled separately</w:t>
      </w:r>
      <w:r w:rsidR="00A606DA" w:rsidRPr="00D976C9">
        <w:rPr>
          <w:rFonts w:eastAsia="MS Mincho"/>
          <w:iCs/>
          <w:lang w:eastAsia="ja-JP"/>
        </w:rPr>
        <w:t xml:space="preserve"> in order to align CRS scrambling</w:t>
      </w:r>
      <w:r w:rsidR="00C43D5A" w:rsidRPr="00D976C9">
        <w:rPr>
          <w:rFonts w:eastAsia="MS Mincho"/>
          <w:iCs/>
          <w:lang w:eastAsia="ja-JP"/>
        </w:rPr>
        <w:t>.</w:t>
      </w:r>
    </w:p>
    <w:p w:rsidR="00D81EE5" w:rsidRDefault="00D81EE5" w:rsidP="00A606DA">
      <w:r w:rsidRPr="00F0023B">
        <w:t xml:space="preserve">Other </w:t>
      </w:r>
      <w:r w:rsidR="00A606DA" w:rsidRPr="00F0023B">
        <w:t xml:space="preserve">inband specific </w:t>
      </w:r>
      <w:r w:rsidRPr="00F0023B">
        <w:t xml:space="preserve">parameters such as control region size should also be indicated for inband non-anchor carriers in </w:t>
      </w:r>
      <w:r w:rsidR="00A606DA" w:rsidRPr="00F0023B">
        <w:t>the RRC configuration of additional carrier</w:t>
      </w:r>
      <w:r w:rsidRPr="00F0023B">
        <w:t>.</w:t>
      </w:r>
      <w:r w:rsidR="00C11C61">
        <w:tab/>
      </w:r>
    </w:p>
    <w:p w:rsidR="00E06B6D" w:rsidRPr="00A5577D" w:rsidRDefault="00E06B6D" w:rsidP="00E06B6D">
      <w:pPr>
        <w:rPr>
          <w:b/>
          <w:bCs/>
          <w:u w:val="single"/>
        </w:rPr>
      </w:pPr>
      <w:r w:rsidRPr="00A5577D">
        <w:rPr>
          <w:b/>
          <w:bCs/>
          <w:u w:val="single"/>
        </w:rPr>
        <w:t>Guardband anchor carrier and guardband non-anchor carrier</w:t>
      </w:r>
    </w:p>
    <w:p w:rsidR="00E06B6D" w:rsidRPr="00E06B6D" w:rsidRDefault="00E06B6D" w:rsidP="00E06B6D">
      <w:pPr>
        <w:rPr>
          <w:bCs/>
        </w:rPr>
      </w:pPr>
      <w:r>
        <w:rPr>
          <w:bCs/>
        </w:rPr>
        <w:lastRenderedPageBreak/>
        <w:t>PRB offset and one bit information about DC carrier position is needed for guardband non-anchor carrier.</w:t>
      </w:r>
    </w:p>
    <w:p w:rsidR="00D81EE5" w:rsidRPr="00F0023B" w:rsidRDefault="00D81EE5" w:rsidP="00C43D5A">
      <w:pPr>
        <w:rPr>
          <w:b/>
          <w:bCs/>
        </w:rPr>
      </w:pPr>
    </w:p>
    <w:p w:rsidR="00C526D2" w:rsidRPr="00F0023B" w:rsidRDefault="007F6E1E" w:rsidP="007F6E1E">
      <w:pPr>
        <w:pStyle w:val="Caption"/>
        <w:jc w:val="both"/>
        <w:rPr>
          <w:rFonts w:ascii="Times New Roman" w:hAnsi="Times New Roman"/>
          <w:b w:val="0"/>
          <w:bCs w:val="0"/>
          <w:sz w:val="22"/>
          <w:szCs w:val="22"/>
        </w:rPr>
      </w:pPr>
      <w:bookmarkStart w:id="2" w:name="_Ref447541546"/>
      <w:r w:rsidRPr="00F0023B">
        <w:rPr>
          <w:rFonts w:ascii="Times New Roman" w:hAnsi="Times New Roman"/>
          <w:sz w:val="22"/>
          <w:szCs w:val="22"/>
        </w:rPr>
        <w:t xml:space="preserve">Proposal </w:t>
      </w:r>
      <w:r w:rsidRPr="00F0023B">
        <w:rPr>
          <w:rFonts w:ascii="Times New Roman" w:hAnsi="Times New Roman"/>
          <w:sz w:val="22"/>
          <w:szCs w:val="22"/>
        </w:rPr>
        <w:fldChar w:fldCharType="begin"/>
      </w:r>
      <w:r w:rsidRPr="00F0023B">
        <w:rPr>
          <w:rFonts w:ascii="Times New Roman" w:hAnsi="Times New Roman"/>
          <w:sz w:val="22"/>
          <w:szCs w:val="22"/>
        </w:rPr>
        <w:instrText xml:space="preserve"> SEQ Proposal \* ARABIC </w:instrText>
      </w:r>
      <w:r w:rsidRPr="00F0023B">
        <w:rPr>
          <w:rFonts w:ascii="Times New Roman" w:hAnsi="Times New Roman"/>
          <w:sz w:val="22"/>
          <w:szCs w:val="22"/>
        </w:rPr>
        <w:fldChar w:fldCharType="separate"/>
      </w:r>
      <w:r w:rsidRPr="00F0023B">
        <w:rPr>
          <w:rFonts w:ascii="Times New Roman" w:hAnsi="Times New Roman"/>
          <w:noProof/>
          <w:sz w:val="22"/>
          <w:szCs w:val="22"/>
        </w:rPr>
        <w:t>1</w:t>
      </w:r>
      <w:r w:rsidRPr="00F0023B">
        <w:rPr>
          <w:rFonts w:ascii="Times New Roman" w:hAnsi="Times New Roman"/>
          <w:sz w:val="22"/>
          <w:szCs w:val="22"/>
        </w:rPr>
        <w:fldChar w:fldCharType="end"/>
      </w:r>
      <w:r w:rsidR="00106020" w:rsidRPr="00F0023B">
        <w:rPr>
          <w:rFonts w:ascii="Times New Roman" w:hAnsi="Times New Roman"/>
          <w:sz w:val="22"/>
          <w:szCs w:val="22"/>
        </w:rPr>
        <w:t>: </w:t>
      </w:r>
      <w:r w:rsidR="0079117E" w:rsidRPr="00F0023B">
        <w:rPr>
          <w:rFonts w:ascii="Times New Roman" w:hAnsi="Times New Roman"/>
          <w:sz w:val="22"/>
          <w:szCs w:val="22"/>
        </w:rPr>
        <w:t>Considering a multi-carrier system having combination of inband and guardband carriers, t</w:t>
      </w:r>
      <w:r w:rsidR="00106020" w:rsidRPr="00F0023B">
        <w:rPr>
          <w:rFonts w:ascii="Times New Roman" w:hAnsi="Times New Roman"/>
          <w:sz w:val="22"/>
          <w:szCs w:val="22"/>
        </w:rPr>
        <w:t>he anchor carrier may be either inband or guardband carrier.</w:t>
      </w:r>
      <w:bookmarkEnd w:id="2"/>
    </w:p>
    <w:p w:rsidR="00ED0040" w:rsidRDefault="007F6E1E" w:rsidP="007F6E1E">
      <w:pPr>
        <w:pStyle w:val="Caption"/>
        <w:jc w:val="both"/>
        <w:rPr>
          <w:rFonts w:ascii="Times New Roman" w:hAnsi="Times New Roman"/>
          <w:sz w:val="22"/>
          <w:szCs w:val="22"/>
        </w:rPr>
      </w:pPr>
      <w:bookmarkStart w:id="3" w:name="_Ref447541549"/>
      <w:r w:rsidRPr="00F0023B">
        <w:rPr>
          <w:rFonts w:ascii="Times New Roman" w:hAnsi="Times New Roman"/>
          <w:sz w:val="22"/>
          <w:szCs w:val="22"/>
        </w:rPr>
        <w:t xml:space="preserve">Proposal </w:t>
      </w:r>
      <w:r w:rsidRPr="00F0023B">
        <w:rPr>
          <w:rFonts w:ascii="Times New Roman" w:hAnsi="Times New Roman"/>
          <w:sz w:val="22"/>
          <w:szCs w:val="22"/>
        </w:rPr>
        <w:fldChar w:fldCharType="begin"/>
      </w:r>
      <w:r w:rsidRPr="00F0023B">
        <w:rPr>
          <w:rFonts w:ascii="Times New Roman" w:hAnsi="Times New Roman"/>
          <w:sz w:val="22"/>
          <w:szCs w:val="22"/>
        </w:rPr>
        <w:instrText xml:space="preserve"> SEQ Proposal \* ARABIC </w:instrText>
      </w:r>
      <w:r w:rsidRPr="00F0023B">
        <w:rPr>
          <w:rFonts w:ascii="Times New Roman" w:hAnsi="Times New Roman"/>
          <w:sz w:val="22"/>
          <w:szCs w:val="22"/>
        </w:rPr>
        <w:fldChar w:fldCharType="separate"/>
      </w:r>
      <w:r w:rsidRPr="00F0023B">
        <w:rPr>
          <w:rFonts w:ascii="Times New Roman" w:hAnsi="Times New Roman"/>
          <w:noProof/>
          <w:sz w:val="22"/>
          <w:szCs w:val="22"/>
        </w:rPr>
        <w:t>2</w:t>
      </w:r>
      <w:r w:rsidRPr="00F0023B">
        <w:rPr>
          <w:rFonts w:ascii="Times New Roman" w:hAnsi="Times New Roman"/>
          <w:sz w:val="22"/>
          <w:szCs w:val="22"/>
        </w:rPr>
        <w:fldChar w:fldCharType="end"/>
      </w:r>
      <w:r w:rsidR="00ED0040" w:rsidRPr="00F0023B">
        <w:rPr>
          <w:rFonts w:ascii="Times New Roman" w:hAnsi="Times New Roman"/>
          <w:sz w:val="22"/>
          <w:szCs w:val="22"/>
        </w:rPr>
        <w:t>: </w:t>
      </w:r>
      <w:r w:rsidR="00074623" w:rsidRPr="00F0023B">
        <w:rPr>
          <w:rFonts w:ascii="Times New Roman" w:hAnsi="Times New Roman"/>
          <w:sz w:val="22"/>
          <w:szCs w:val="22"/>
        </w:rPr>
        <w:t xml:space="preserve">Information to obtain CRS sequence (only needed if same-PCI indicator is set to true) </w:t>
      </w:r>
      <w:r w:rsidR="000D74AD" w:rsidRPr="00F0023B">
        <w:rPr>
          <w:rFonts w:ascii="Times New Roman" w:hAnsi="Times New Roman"/>
          <w:sz w:val="22"/>
          <w:szCs w:val="22"/>
        </w:rPr>
        <w:t xml:space="preserve">and control region size </w:t>
      </w:r>
      <w:r w:rsidR="00074623" w:rsidRPr="00F0023B">
        <w:rPr>
          <w:rFonts w:ascii="Times New Roman" w:hAnsi="Times New Roman"/>
          <w:sz w:val="22"/>
          <w:szCs w:val="22"/>
        </w:rPr>
        <w:t xml:space="preserve">is RRC configured also for </w:t>
      </w:r>
      <w:r w:rsidR="00A004FA">
        <w:rPr>
          <w:rFonts w:ascii="Times New Roman" w:hAnsi="Times New Roman"/>
          <w:sz w:val="22"/>
          <w:szCs w:val="22"/>
        </w:rPr>
        <w:t xml:space="preserve">inband </w:t>
      </w:r>
      <w:r w:rsidR="00074623" w:rsidRPr="00F0023B">
        <w:rPr>
          <w:rFonts w:ascii="Times New Roman" w:hAnsi="Times New Roman"/>
          <w:sz w:val="22"/>
          <w:szCs w:val="22"/>
        </w:rPr>
        <w:t xml:space="preserve">non-anchor carrier if the anchor carrier is in </w:t>
      </w:r>
      <w:r w:rsidRPr="00F0023B">
        <w:rPr>
          <w:rFonts w:ascii="Times New Roman" w:hAnsi="Times New Roman"/>
          <w:sz w:val="22"/>
          <w:szCs w:val="22"/>
        </w:rPr>
        <w:t xml:space="preserve">the </w:t>
      </w:r>
      <w:r w:rsidR="00074623" w:rsidRPr="00F0023B">
        <w:rPr>
          <w:rFonts w:ascii="Times New Roman" w:hAnsi="Times New Roman"/>
          <w:sz w:val="22"/>
          <w:szCs w:val="22"/>
        </w:rPr>
        <w:t>guardband mode.</w:t>
      </w:r>
      <w:bookmarkEnd w:id="3"/>
    </w:p>
    <w:p w:rsidR="00E06B6D" w:rsidRDefault="00E06B6D" w:rsidP="00E06B6D">
      <w:pPr>
        <w:pStyle w:val="Caption"/>
        <w:jc w:val="both"/>
        <w:rPr>
          <w:rFonts w:ascii="Times New Roman" w:hAnsi="Times New Roman"/>
          <w:sz w:val="22"/>
          <w:szCs w:val="22"/>
        </w:rPr>
      </w:pPr>
      <w:r w:rsidRPr="00F0023B">
        <w:rPr>
          <w:rFonts w:ascii="Times New Roman" w:hAnsi="Times New Roman"/>
          <w:sz w:val="22"/>
          <w:szCs w:val="22"/>
        </w:rPr>
        <w:t xml:space="preserve">Proposal </w:t>
      </w:r>
      <w:r w:rsidRPr="00F0023B">
        <w:rPr>
          <w:rFonts w:ascii="Times New Roman" w:hAnsi="Times New Roman"/>
          <w:sz w:val="22"/>
          <w:szCs w:val="22"/>
        </w:rPr>
        <w:fldChar w:fldCharType="begin"/>
      </w:r>
      <w:r w:rsidRPr="00F0023B">
        <w:rPr>
          <w:rFonts w:ascii="Times New Roman" w:hAnsi="Times New Roman"/>
          <w:sz w:val="22"/>
          <w:szCs w:val="22"/>
        </w:rPr>
        <w:instrText xml:space="preserve"> SEQ Proposal \* ARABIC </w:instrText>
      </w:r>
      <w:r w:rsidRPr="00F0023B">
        <w:rPr>
          <w:rFonts w:ascii="Times New Roman" w:hAnsi="Times New Roman"/>
          <w:sz w:val="22"/>
          <w:szCs w:val="22"/>
        </w:rPr>
        <w:fldChar w:fldCharType="separate"/>
      </w:r>
      <w:r>
        <w:rPr>
          <w:rFonts w:ascii="Times New Roman" w:hAnsi="Times New Roman"/>
          <w:noProof/>
          <w:sz w:val="22"/>
          <w:szCs w:val="22"/>
        </w:rPr>
        <w:t>3</w:t>
      </w:r>
      <w:r w:rsidRPr="00F0023B">
        <w:rPr>
          <w:rFonts w:ascii="Times New Roman" w:hAnsi="Times New Roman"/>
          <w:sz w:val="22"/>
          <w:szCs w:val="22"/>
        </w:rPr>
        <w:fldChar w:fldCharType="end"/>
      </w:r>
      <w:r w:rsidRPr="00F0023B">
        <w:rPr>
          <w:rFonts w:ascii="Times New Roman" w:hAnsi="Times New Roman"/>
          <w:sz w:val="22"/>
          <w:szCs w:val="22"/>
        </w:rPr>
        <w:t>: </w:t>
      </w:r>
      <w:r>
        <w:rPr>
          <w:rFonts w:ascii="Times New Roman" w:hAnsi="Times New Roman"/>
          <w:sz w:val="22"/>
          <w:szCs w:val="22"/>
        </w:rPr>
        <w:t xml:space="preserve">Information of DC carrier position is RRC configured </w:t>
      </w:r>
      <w:r w:rsidRPr="00F0023B">
        <w:rPr>
          <w:rFonts w:ascii="Times New Roman" w:hAnsi="Times New Roman"/>
          <w:sz w:val="22"/>
          <w:szCs w:val="22"/>
        </w:rPr>
        <w:t xml:space="preserve">for </w:t>
      </w:r>
      <w:r>
        <w:rPr>
          <w:rFonts w:ascii="Times New Roman" w:hAnsi="Times New Roman"/>
          <w:sz w:val="22"/>
          <w:szCs w:val="22"/>
        </w:rPr>
        <w:t xml:space="preserve">inband and guardband </w:t>
      </w:r>
      <w:r w:rsidRPr="00F0023B">
        <w:rPr>
          <w:rFonts w:ascii="Times New Roman" w:hAnsi="Times New Roman"/>
          <w:sz w:val="22"/>
          <w:szCs w:val="22"/>
        </w:rPr>
        <w:t>non-anchor carrier if the anchor carrier is</w:t>
      </w:r>
      <w:r w:rsidR="005D6A7E" w:rsidRPr="00F0023B">
        <w:t>in the guardband mode</w:t>
      </w:r>
      <w:r w:rsidRPr="00F0023B">
        <w:rPr>
          <w:rFonts w:ascii="Times New Roman" w:hAnsi="Times New Roman"/>
          <w:sz w:val="22"/>
          <w:szCs w:val="22"/>
        </w:rPr>
        <w:t>.</w:t>
      </w:r>
    </w:p>
    <w:p w:rsidR="00A5577D" w:rsidRPr="00A5577D" w:rsidRDefault="00A5577D" w:rsidP="00A5577D">
      <w:pPr>
        <w:rPr>
          <w:lang w:val="en-GB" w:eastAsia="zh-CN"/>
        </w:rPr>
      </w:pPr>
      <w:bookmarkStart w:id="4" w:name="_GoBack"/>
      <w:bookmarkEnd w:id="4"/>
    </w:p>
    <w:p w:rsidR="00284961" w:rsidRPr="00F0023B" w:rsidRDefault="00284961" w:rsidP="00284961">
      <w:pPr>
        <w:pStyle w:val="Heading1"/>
      </w:pPr>
      <w:r w:rsidRPr="00F0023B">
        <w:t>Conclusions</w:t>
      </w:r>
    </w:p>
    <w:p w:rsidR="008126CD" w:rsidRPr="00F0023B" w:rsidRDefault="00F53B24" w:rsidP="00F53B24">
      <w:pPr>
        <w:rPr>
          <w:b/>
          <w:lang w:val="en-GB" w:eastAsia="zh-CN"/>
        </w:rPr>
      </w:pPr>
      <w:r w:rsidRPr="00F0023B">
        <w:rPr>
          <w:lang w:eastAsia="zh-CN"/>
        </w:rPr>
        <w:t>Following proposals are made in this</w:t>
      </w:r>
      <w:r w:rsidR="0085744C" w:rsidRPr="00F0023B">
        <w:rPr>
          <w:lang w:eastAsia="zh-CN"/>
        </w:rPr>
        <w:t xml:space="preserve"> contribution</w:t>
      </w:r>
      <w:r w:rsidR="00EE2478" w:rsidRPr="00F0023B">
        <w:rPr>
          <w:lang w:eastAsia="zh-CN"/>
        </w:rPr>
        <w:t xml:space="preserve"> regarding multi-carrier operation</w:t>
      </w:r>
      <w:r w:rsidRPr="00F0023B">
        <w:rPr>
          <w:lang w:eastAsia="zh-CN"/>
        </w:rPr>
        <w:t>:</w:t>
      </w:r>
    </w:p>
    <w:p w:rsidR="00F53B24" w:rsidRPr="00F0023B" w:rsidRDefault="00F53B24" w:rsidP="00A20858">
      <w:pPr>
        <w:rPr>
          <w:b/>
          <w:lang w:val="en-GB" w:eastAsia="zh-CN"/>
        </w:rPr>
      </w:pPr>
      <w:r w:rsidRPr="00F0023B">
        <w:rPr>
          <w:b/>
          <w:lang w:val="en-GB" w:eastAsia="zh-CN"/>
        </w:rPr>
        <w:fldChar w:fldCharType="begin"/>
      </w:r>
      <w:r w:rsidRPr="00F0023B">
        <w:rPr>
          <w:b/>
          <w:lang w:val="en-GB" w:eastAsia="zh-CN"/>
        </w:rPr>
        <w:instrText xml:space="preserve"> REF _Ref447541546 \h </w:instrText>
      </w:r>
      <w:r w:rsidR="00F0023B" w:rsidRPr="00F0023B">
        <w:rPr>
          <w:b/>
          <w:lang w:val="en-GB" w:eastAsia="zh-CN"/>
        </w:rPr>
        <w:instrText xml:space="preserve"> \* MERGEFORMAT </w:instrText>
      </w:r>
      <w:r w:rsidRPr="00F0023B">
        <w:rPr>
          <w:b/>
          <w:lang w:val="en-GB" w:eastAsia="zh-CN"/>
        </w:rPr>
      </w:r>
      <w:r w:rsidRPr="00F0023B">
        <w:rPr>
          <w:b/>
          <w:lang w:val="en-GB" w:eastAsia="zh-CN"/>
        </w:rPr>
        <w:fldChar w:fldCharType="separate"/>
      </w:r>
      <w:r w:rsidRPr="00F0023B">
        <w:rPr>
          <w:b/>
        </w:rPr>
        <w:t xml:space="preserve">Proposal </w:t>
      </w:r>
      <w:r w:rsidRPr="00F0023B">
        <w:rPr>
          <w:b/>
          <w:noProof/>
        </w:rPr>
        <w:t>1</w:t>
      </w:r>
      <w:r w:rsidRPr="00F0023B">
        <w:rPr>
          <w:b/>
          <w:bCs/>
        </w:rPr>
        <w:t>: Considering a multi-carrier system having combination of inband and guardband carriers, the anchor carrier may be either inband or guardband carrier.</w:t>
      </w:r>
      <w:r w:rsidRPr="00F0023B">
        <w:rPr>
          <w:b/>
          <w:lang w:val="en-GB" w:eastAsia="zh-CN"/>
        </w:rPr>
        <w:fldChar w:fldCharType="end"/>
      </w:r>
    </w:p>
    <w:p w:rsidR="00A20858" w:rsidRDefault="00F53B24" w:rsidP="00A20858">
      <w:pPr>
        <w:rPr>
          <w:b/>
          <w:lang w:val="en-GB" w:eastAsia="zh-CN"/>
        </w:rPr>
      </w:pPr>
      <w:r w:rsidRPr="00F0023B">
        <w:rPr>
          <w:b/>
          <w:lang w:val="en-GB" w:eastAsia="zh-CN"/>
        </w:rPr>
        <w:fldChar w:fldCharType="begin"/>
      </w:r>
      <w:r w:rsidRPr="00F0023B">
        <w:rPr>
          <w:b/>
          <w:lang w:val="en-GB" w:eastAsia="zh-CN"/>
        </w:rPr>
        <w:instrText xml:space="preserve"> REF _Ref447541549 \h </w:instrText>
      </w:r>
      <w:r w:rsidR="0047314A" w:rsidRPr="00F0023B">
        <w:rPr>
          <w:b/>
          <w:lang w:val="en-GB" w:eastAsia="zh-CN"/>
        </w:rPr>
        <w:instrText xml:space="preserve"> \* MERGEFORMAT </w:instrText>
      </w:r>
      <w:r w:rsidRPr="00F0023B">
        <w:rPr>
          <w:b/>
          <w:lang w:val="en-GB" w:eastAsia="zh-CN"/>
        </w:rPr>
      </w:r>
      <w:r w:rsidRPr="00F0023B">
        <w:rPr>
          <w:b/>
          <w:lang w:val="en-GB" w:eastAsia="zh-CN"/>
        </w:rPr>
        <w:fldChar w:fldCharType="separate"/>
      </w:r>
      <w:r w:rsidR="0047314A" w:rsidRPr="00F0023B">
        <w:rPr>
          <w:b/>
        </w:rPr>
        <w:t xml:space="preserve">Proposal </w:t>
      </w:r>
      <w:r w:rsidR="0047314A" w:rsidRPr="00F0023B">
        <w:rPr>
          <w:b/>
          <w:noProof/>
        </w:rPr>
        <w:t>2</w:t>
      </w:r>
      <w:r w:rsidR="0047314A" w:rsidRPr="00F0023B">
        <w:rPr>
          <w:b/>
          <w:bCs/>
        </w:rPr>
        <w:t>: Information to obtain CRS sequence (only needed if same-PCI indicator is set to true) and control region size is RRC configured also for non-anchor carrier if the anchor carrier is in the guardband mode.</w:t>
      </w:r>
      <w:r w:rsidRPr="00F0023B">
        <w:rPr>
          <w:b/>
          <w:lang w:val="en-GB" w:eastAsia="zh-CN"/>
        </w:rPr>
        <w:fldChar w:fldCharType="end"/>
      </w:r>
    </w:p>
    <w:p w:rsidR="00E06B6D" w:rsidRPr="00F0023B" w:rsidRDefault="00E06B6D" w:rsidP="00A20858">
      <w:pPr>
        <w:rPr>
          <w:b/>
          <w:lang w:val="en-GB" w:eastAsia="zh-CN"/>
        </w:rPr>
      </w:pPr>
      <w:r w:rsidRPr="00E06B6D">
        <w:rPr>
          <w:b/>
          <w:lang w:val="en-GB" w:eastAsia="zh-CN"/>
        </w:rPr>
        <w:t xml:space="preserve">Proposal 3: Information of DC carrier position is RRC configured for inband and guardband non-anchor carrier if the anchor carrier is </w:t>
      </w:r>
      <w:r w:rsidR="005D6A7E" w:rsidRPr="00F0023B">
        <w:rPr>
          <w:b/>
          <w:bCs/>
        </w:rPr>
        <w:t>in the guardband mode</w:t>
      </w:r>
      <w:r w:rsidRPr="00E06B6D">
        <w:rPr>
          <w:b/>
          <w:lang w:val="en-GB" w:eastAsia="zh-CN"/>
        </w:rPr>
        <w:t>.</w:t>
      </w:r>
    </w:p>
    <w:p w:rsidR="00A20858" w:rsidRPr="005D6A7E" w:rsidRDefault="00A20858" w:rsidP="00CB25D4">
      <w:pPr>
        <w:rPr>
          <w:b/>
          <w:lang w:val="en-GB" w:eastAsia="zh-CN"/>
        </w:rPr>
      </w:pPr>
    </w:p>
    <w:p w:rsidR="00284961" w:rsidRPr="00F0023B" w:rsidRDefault="00284961" w:rsidP="00284961">
      <w:pPr>
        <w:pStyle w:val="Heading1"/>
      </w:pPr>
      <w:r w:rsidRPr="00F0023B">
        <w:t xml:space="preserve">Reference </w:t>
      </w:r>
    </w:p>
    <w:p w:rsidR="006A0129" w:rsidRPr="00F0023B" w:rsidRDefault="0069146C" w:rsidP="0069146C">
      <w:pPr>
        <w:pStyle w:val="ListParagraph"/>
        <w:numPr>
          <w:ilvl w:val="0"/>
          <w:numId w:val="10"/>
        </w:numPr>
        <w:ind w:firstLineChars="0"/>
        <w:rPr>
          <w:rFonts w:eastAsia="MS Mincho"/>
          <w:bCs/>
          <w:sz w:val="24"/>
          <w:szCs w:val="24"/>
        </w:rPr>
      </w:pPr>
      <w:bookmarkStart w:id="5" w:name="_Ref447544575"/>
      <w:r w:rsidRPr="00F0023B">
        <w:t>WI</w:t>
      </w:r>
      <w:r w:rsidRPr="00F0023B">
        <w:rPr>
          <w:rFonts w:eastAsia="MS Mincho"/>
          <w:bCs/>
          <w:sz w:val="24"/>
          <w:szCs w:val="24"/>
        </w:rPr>
        <w:t xml:space="preserve"> rapporteur (Ericsson), “RAN1 agreements for Rel-13 NB-IoT”</w:t>
      </w:r>
      <w:bookmarkEnd w:id="5"/>
    </w:p>
    <w:sectPr w:rsidR="006A0129" w:rsidRPr="00F002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441" w:rsidRDefault="007B5441" w:rsidP="00284961">
      <w:pPr>
        <w:spacing w:after="0"/>
      </w:pPr>
      <w:r>
        <w:separator/>
      </w:r>
    </w:p>
  </w:endnote>
  <w:endnote w:type="continuationSeparator" w:id="0">
    <w:p w:rsidR="007B5441" w:rsidRDefault="007B5441"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441" w:rsidRDefault="007B5441" w:rsidP="00284961">
      <w:pPr>
        <w:spacing w:after="0"/>
      </w:pPr>
      <w:r>
        <w:separator/>
      </w:r>
    </w:p>
  </w:footnote>
  <w:footnote w:type="continuationSeparator" w:id="0">
    <w:p w:rsidR="007B5441" w:rsidRDefault="007B5441"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4">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5">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8">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1">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13">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14">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15">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17">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0"/>
  </w:num>
  <w:num w:numId="6">
    <w:abstractNumId w:val="3"/>
  </w:num>
  <w:num w:numId="7">
    <w:abstractNumId w:val="4"/>
  </w:num>
  <w:num w:numId="8">
    <w:abstractNumId w:val="14"/>
  </w:num>
  <w:num w:numId="9">
    <w:abstractNumId w:val="5"/>
  </w:num>
  <w:num w:numId="10">
    <w:abstractNumId w:val="8"/>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9"/>
  </w:num>
  <w:num w:numId="13">
    <w:abstractNumId w:val="11"/>
  </w:num>
  <w:num w:numId="14">
    <w:abstractNumId w:val="7"/>
  </w:num>
  <w:num w:numId="15">
    <w:abstractNumId w:val="13"/>
  </w:num>
  <w:num w:numId="16">
    <w:abstractNumId w:val="16"/>
  </w:num>
  <w:num w:numId="17">
    <w:abstractNumId w:val="12"/>
  </w:num>
  <w:num w:numId="18">
    <w:abstractNumId w:val="15"/>
  </w:num>
  <w:num w:numId="19">
    <w:abstractNumId w:val="6"/>
  </w:num>
  <w:num w:numId="20">
    <w:abstractNumId w:val="1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4D6"/>
    <w:rsid w:val="00011CDF"/>
    <w:rsid w:val="00017B72"/>
    <w:rsid w:val="0002542D"/>
    <w:rsid w:val="00025AEB"/>
    <w:rsid w:val="00042D29"/>
    <w:rsid w:val="000478D7"/>
    <w:rsid w:val="000505CD"/>
    <w:rsid w:val="00054004"/>
    <w:rsid w:val="00054A31"/>
    <w:rsid w:val="00065D12"/>
    <w:rsid w:val="000679BB"/>
    <w:rsid w:val="00074623"/>
    <w:rsid w:val="00084EC6"/>
    <w:rsid w:val="00086E5E"/>
    <w:rsid w:val="0009464F"/>
    <w:rsid w:val="000D2BE8"/>
    <w:rsid w:val="000D5C50"/>
    <w:rsid w:val="000D74AD"/>
    <w:rsid w:val="000F1555"/>
    <w:rsid w:val="000F6AC6"/>
    <w:rsid w:val="001030E6"/>
    <w:rsid w:val="00105E6C"/>
    <w:rsid w:val="00106020"/>
    <w:rsid w:val="00107F97"/>
    <w:rsid w:val="001138A3"/>
    <w:rsid w:val="001214A8"/>
    <w:rsid w:val="00124C30"/>
    <w:rsid w:val="00130C45"/>
    <w:rsid w:val="0015255F"/>
    <w:rsid w:val="0015453B"/>
    <w:rsid w:val="00165AD6"/>
    <w:rsid w:val="00170022"/>
    <w:rsid w:val="00177303"/>
    <w:rsid w:val="00180214"/>
    <w:rsid w:val="00184AB9"/>
    <w:rsid w:val="001A05F0"/>
    <w:rsid w:val="001A418F"/>
    <w:rsid w:val="001A590C"/>
    <w:rsid w:val="001B0218"/>
    <w:rsid w:val="001B6716"/>
    <w:rsid w:val="001C2BB3"/>
    <w:rsid w:val="001D08B1"/>
    <w:rsid w:val="001F02E3"/>
    <w:rsid w:val="001F1474"/>
    <w:rsid w:val="001F6998"/>
    <w:rsid w:val="002043D9"/>
    <w:rsid w:val="00205A83"/>
    <w:rsid w:val="002219C8"/>
    <w:rsid w:val="0022291D"/>
    <w:rsid w:val="002474EE"/>
    <w:rsid w:val="00252508"/>
    <w:rsid w:val="00256046"/>
    <w:rsid w:val="002618E0"/>
    <w:rsid w:val="00270437"/>
    <w:rsid w:val="00273CD7"/>
    <w:rsid w:val="00276080"/>
    <w:rsid w:val="00276914"/>
    <w:rsid w:val="002823CE"/>
    <w:rsid w:val="00284961"/>
    <w:rsid w:val="00286DE9"/>
    <w:rsid w:val="002920FC"/>
    <w:rsid w:val="00296619"/>
    <w:rsid w:val="002967A8"/>
    <w:rsid w:val="002B314F"/>
    <w:rsid w:val="002B5DB5"/>
    <w:rsid w:val="002D3A6F"/>
    <w:rsid w:val="002E5428"/>
    <w:rsid w:val="002F2B00"/>
    <w:rsid w:val="002F7EA5"/>
    <w:rsid w:val="003002BB"/>
    <w:rsid w:val="003073E1"/>
    <w:rsid w:val="00322768"/>
    <w:rsid w:val="00323A1A"/>
    <w:rsid w:val="0033401A"/>
    <w:rsid w:val="00337258"/>
    <w:rsid w:val="00343FF4"/>
    <w:rsid w:val="0034567C"/>
    <w:rsid w:val="00350AC5"/>
    <w:rsid w:val="00353DC5"/>
    <w:rsid w:val="0036246D"/>
    <w:rsid w:val="00364071"/>
    <w:rsid w:val="003B0014"/>
    <w:rsid w:val="003C0126"/>
    <w:rsid w:val="003C2C5D"/>
    <w:rsid w:val="003C4883"/>
    <w:rsid w:val="003C4A18"/>
    <w:rsid w:val="003C7D50"/>
    <w:rsid w:val="003D385A"/>
    <w:rsid w:val="003D5BBB"/>
    <w:rsid w:val="003E3616"/>
    <w:rsid w:val="003E41B6"/>
    <w:rsid w:val="003F1223"/>
    <w:rsid w:val="00404EB8"/>
    <w:rsid w:val="00405FE6"/>
    <w:rsid w:val="00410ADE"/>
    <w:rsid w:val="00422A7F"/>
    <w:rsid w:val="0042733F"/>
    <w:rsid w:val="00432E7B"/>
    <w:rsid w:val="00447E80"/>
    <w:rsid w:val="00450D6A"/>
    <w:rsid w:val="00466CE3"/>
    <w:rsid w:val="0047314A"/>
    <w:rsid w:val="004740F3"/>
    <w:rsid w:val="0047491D"/>
    <w:rsid w:val="0047580F"/>
    <w:rsid w:val="00494D38"/>
    <w:rsid w:val="00495074"/>
    <w:rsid w:val="004A3672"/>
    <w:rsid w:val="004B1F89"/>
    <w:rsid w:val="004C0C6D"/>
    <w:rsid w:val="004C40F7"/>
    <w:rsid w:val="004C78C8"/>
    <w:rsid w:val="004E6E7F"/>
    <w:rsid w:val="004F6791"/>
    <w:rsid w:val="0050255D"/>
    <w:rsid w:val="005039B6"/>
    <w:rsid w:val="0052364C"/>
    <w:rsid w:val="00524365"/>
    <w:rsid w:val="00524A7B"/>
    <w:rsid w:val="00530749"/>
    <w:rsid w:val="005357A2"/>
    <w:rsid w:val="00537E73"/>
    <w:rsid w:val="00555948"/>
    <w:rsid w:val="0056658D"/>
    <w:rsid w:val="005676A3"/>
    <w:rsid w:val="00576FE5"/>
    <w:rsid w:val="00576FE6"/>
    <w:rsid w:val="00593CAA"/>
    <w:rsid w:val="0059566D"/>
    <w:rsid w:val="005961F1"/>
    <w:rsid w:val="005965EA"/>
    <w:rsid w:val="005A0156"/>
    <w:rsid w:val="005A4112"/>
    <w:rsid w:val="005B2B14"/>
    <w:rsid w:val="005C0B9C"/>
    <w:rsid w:val="005C10C5"/>
    <w:rsid w:val="005D2BCB"/>
    <w:rsid w:val="005D3DDA"/>
    <w:rsid w:val="005D46CF"/>
    <w:rsid w:val="005D5A4A"/>
    <w:rsid w:val="005D6A7E"/>
    <w:rsid w:val="005E06F3"/>
    <w:rsid w:val="005E084D"/>
    <w:rsid w:val="005F6C00"/>
    <w:rsid w:val="005F7659"/>
    <w:rsid w:val="006017B7"/>
    <w:rsid w:val="00613193"/>
    <w:rsid w:val="00620C8B"/>
    <w:rsid w:val="006346FA"/>
    <w:rsid w:val="00642388"/>
    <w:rsid w:val="006443FB"/>
    <w:rsid w:val="006515F2"/>
    <w:rsid w:val="00654116"/>
    <w:rsid w:val="00655560"/>
    <w:rsid w:val="0067694F"/>
    <w:rsid w:val="00686AC9"/>
    <w:rsid w:val="0069146C"/>
    <w:rsid w:val="00691BD4"/>
    <w:rsid w:val="0069377D"/>
    <w:rsid w:val="006A0129"/>
    <w:rsid w:val="006B081F"/>
    <w:rsid w:val="006B5CFE"/>
    <w:rsid w:val="006B7238"/>
    <w:rsid w:val="006E1FE8"/>
    <w:rsid w:val="006E6A62"/>
    <w:rsid w:val="006F52D0"/>
    <w:rsid w:val="007052CB"/>
    <w:rsid w:val="00743200"/>
    <w:rsid w:val="00750588"/>
    <w:rsid w:val="00756A69"/>
    <w:rsid w:val="007572AA"/>
    <w:rsid w:val="00764FD5"/>
    <w:rsid w:val="0077124F"/>
    <w:rsid w:val="0077223C"/>
    <w:rsid w:val="007754B5"/>
    <w:rsid w:val="00780263"/>
    <w:rsid w:val="00783177"/>
    <w:rsid w:val="0079117E"/>
    <w:rsid w:val="00793F29"/>
    <w:rsid w:val="00794F1A"/>
    <w:rsid w:val="00795E88"/>
    <w:rsid w:val="007B5441"/>
    <w:rsid w:val="007B5811"/>
    <w:rsid w:val="007B6AE8"/>
    <w:rsid w:val="007D1F33"/>
    <w:rsid w:val="007D54E2"/>
    <w:rsid w:val="007D5F92"/>
    <w:rsid w:val="007E6F2C"/>
    <w:rsid w:val="007F6E1E"/>
    <w:rsid w:val="007F7A11"/>
    <w:rsid w:val="00801AC1"/>
    <w:rsid w:val="00801F66"/>
    <w:rsid w:val="00804467"/>
    <w:rsid w:val="008126CD"/>
    <w:rsid w:val="00831338"/>
    <w:rsid w:val="008344E8"/>
    <w:rsid w:val="00850764"/>
    <w:rsid w:val="0085744C"/>
    <w:rsid w:val="00874E41"/>
    <w:rsid w:val="00877774"/>
    <w:rsid w:val="008927D0"/>
    <w:rsid w:val="0089501F"/>
    <w:rsid w:val="00895793"/>
    <w:rsid w:val="008A0DF5"/>
    <w:rsid w:val="008A205D"/>
    <w:rsid w:val="008C0B10"/>
    <w:rsid w:val="008D43ED"/>
    <w:rsid w:val="008E66F6"/>
    <w:rsid w:val="00902A54"/>
    <w:rsid w:val="00904DA5"/>
    <w:rsid w:val="0090675F"/>
    <w:rsid w:val="00933500"/>
    <w:rsid w:val="00942E23"/>
    <w:rsid w:val="009442FC"/>
    <w:rsid w:val="00950B83"/>
    <w:rsid w:val="00956B5C"/>
    <w:rsid w:val="0096470D"/>
    <w:rsid w:val="00993147"/>
    <w:rsid w:val="009A08BD"/>
    <w:rsid w:val="009A5602"/>
    <w:rsid w:val="009A56D7"/>
    <w:rsid w:val="009C1F59"/>
    <w:rsid w:val="009D0F6E"/>
    <w:rsid w:val="009D12F1"/>
    <w:rsid w:val="009E2C3E"/>
    <w:rsid w:val="00A004FA"/>
    <w:rsid w:val="00A032CB"/>
    <w:rsid w:val="00A10328"/>
    <w:rsid w:val="00A15A99"/>
    <w:rsid w:val="00A20858"/>
    <w:rsid w:val="00A24419"/>
    <w:rsid w:val="00A31161"/>
    <w:rsid w:val="00A3561F"/>
    <w:rsid w:val="00A449CE"/>
    <w:rsid w:val="00A5577D"/>
    <w:rsid w:val="00A57621"/>
    <w:rsid w:val="00A606DA"/>
    <w:rsid w:val="00A60BF5"/>
    <w:rsid w:val="00A67BC5"/>
    <w:rsid w:val="00A955FF"/>
    <w:rsid w:val="00A9711B"/>
    <w:rsid w:val="00AB0E80"/>
    <w:rsid w:val="00AB637F"/>
    <w:rsid w:val="00AD0332"/>
    <w:rsid w:val="00AD6FAF"/>
    <w:rsid w:val="00AE5F46"/>
    <w:rsid w:val="00AE72F0"/>
    <w:rsid w:val="00AE76A1"/>
    <w:rsid w:val="00AF368A"/>
    <w:rsid w:val="00B0785E"/>
    <w:rsid w:val="00B11802"/>
    <w:rsid w:val="00B31E4A"/>
    <w:rsid w:val="00B3304B"/>
    <w:rsid w:val="00B40349"/>
    <w:rsid w:val="00B7284F"/>
    <w:rsid w:val="00B72E9E"/>
    <w:rsid w:val="00B82FEC"/>
    <w:rsid w:val="00B91A21"/>
    <w:rsid w:val="00BA4040"/>
    <w:rsid w:val="00BB0F7B"/>
    <w:rsid w:val="00BE6603"/>
    <w:rsid w:val="00BF4179"/>
    <w:rsid w:val="00C069AC"/>
    <w:rsid w:val="00C113E3"/>
    <w:rsid w:val="00C11C61"/>
    <w:rsid w:val="00C15CC0"/>
    <w:rsid w:val="00C23D71"/>
    <w:rsid w:val="00C3460B"/>
    <w:rsid w:val="00C43D5A"/>
    <w:rsid w:val="00C502A0"/>
    <w:rsid w:val="00C526D2"/>
    <w:rsid w:val="00C77528"/>
    <w:rsid w:val="00C8114A"/>
    <w:rsid w:val="00C9098B"/>
    <w:rsid w:val="00C95AE1"/>
    <w:rsid w:val="00CB25D4"/>
    <w:rsid w:val="00CB6B4C"/>
    <w:rsid w:val="00CD0C69"/>
    <w:rsid w:val="00CD1144"/>
    <w:rsid w:val="00CD6CB3"/>
    <w:rsid w:val="00CF0B57"/>
    <w:rsid w:val="00CF3E3D"/>
    <w:rsid w:val="00D11321"/>
    <w:rsid w:val="00D2187A"/>
    <w:rsid w:val="00D27868"/>
    <w:rsid w:val="00D43734"/>
    <w:rsid w:val="00D51DB7"/>
    <w:rsid w:val="00D70FC5"/>
    <w:rsid w:val="00D771F8"/>
    <w:rsid w:val="00D81EE5"/>
    <w:rsid w:val="00D92E88"/>
    <w:rsid w:val="00D96A5F"/>
    <w:rsid w:val="00D976C9"/>
    <w:rsid w:val="00DA7B84"/>
    <w:rsid w:val="00DB2E15"/>
    <w:rsid w:val="00DD3D56"/>
    <w:rsid w:val="00DE63AC"/>
    <w:rsid w:val="00E06B6D"/>
    <w:rsid w:val="00E20B89"/>
    <w:rsid w:val="00E53822"/>
    <w:rsid w:val="00E66A63"/>
    <w:rsid w:val="00E71EB3"/>
    <w:rsid w:val="00E966A3"/>
    <w:rsid w:val="00EB1DBD"/>
    <w:rsid w:val="00EC01C2"/>
    <w:rsid w:val="00EC2703"/>
    <w:rsid w:val="00ED0040"/>
    <w:rsid w:val="00ED108E"/>
    <w:rsid w:val="00ED57DF"/>
    <w:rsid w:val="00ED6336"/>
    <w:rsid w:val="00EE2478"/>
    <w:rsid w:val="00EE3526"/>
    <w:rsid w:val="00EE6296"/>
    <w:rsid w:val="00EF0C2F"/>
    <w:rsid w:val="00EF0EB4"/>
    <w:rsid w:val="00EF2B93"/>
    <w:rsid w:val="00F0023B"/>
    <w:rsid w:val="00F0088B"/>
    <w:rsid w:val="00F021F6"/>
    <w:rsid w:val="00F141C2"/>
    <w:rsid w:val="00F22C19"/>
    <w:rsid w:val="00F40549"/>
    <w:rsid w:val="00F417D6"/>
    <w:rsid w:val="00F43158"/>
    <w:rsid w:val="00F512DA"/>
    <w:rsid w:val="00F53B24"/>
    <w:rsid w:val="00F61ABC"/>
    <w:rsid w:val="00F67317"/>
    <w:rsid w:val="00F67989"/>
    <w:rsid w:val="00F74775"/>
    <w:rsid w:val="00F74FB6"/>
    <w:rsid w:val="00F77846"/>
    <w:rsid w:val="00FB26DF"/>
    <w:rsid w:val="00FB68F2"/>
    <w:rsid w:val="00FB7BB3"/>
    <w:rsid w:val="00FD0FF2"/>
    <w:rsid w:val="00FE55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84AC3-75C6-4FBC-A68D-0C6190720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6635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3</cp:revision>
  <dcterms:created xsi:type="dcterms:W3CDTF">2016-04-05T10:17:00Z</dcterms:created>
  <dcterms:modified xsi:type="dcterms:W3CDTF">2016-04-05T10:33:00Z</dcterms:modified>
</cp:coreProperties>
</file>